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7CEE" w14:textId="77777777" w:rsidR="00B73F84" w:rsidRDefault="00B73F84" w:rsidP="004A012A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  <w:lang w:eastAsia="cs-CZ"/>
        </w:rPr>
      </w:pPr>
    </w:p>
    <w:p w14:paraId="537A8A01" w14:textId="77777777" w:rsidR="004A012A" w:rsidRPr="006F7453" w:rsidRDefault="004A012A" w:rsidP="004A01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Informace o realizaci projektu „</w:t>
      </w:r>
      <w:r w:rsidR="00E631ED"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Začínáme po 50 </w:t>
      </w:r>
      <w:r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ve Středočeském kraji</w:t>
      </w:r>
      <w:r w:rsidR="00E631ED"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 II</w:t>
      </w:r>
      <w:r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“</w:t>
      </w:r>
    </w:p>
    <w:p w14:paraId="1F0D3683" w14:textId="77777777" w:rsidR="004A012A" w:rsidRPr="006F7453" w:rsidRDefault="004A012A" w:rsidP="004A0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58F0F384" w14:textId="77777777" w:rsidR="004A012A" w:rsidRPr="006F7453" w:rsidRDefault="004A012A" w:rsidP="004A012A">
      <w:pPr>
        <w:shd w:val="clear" w:color="auto" w:fill="FFFFFF"/>
        <w:spacing w:after="0" w:line="240" w:lineRule="auto"/>
        <w:jc w:val="center"/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</w:pPr>
      <w:r w:rsidRPr="006F7453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>Registrační číslo projektu</w:t>
      </w:r>
      <w:r w:rsidR="00B73F84" w:rsidRPr="006F7453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>:</w:t>
      </w:r>
      <w:r w:rsidRPr="006F7453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 xml:space="preserve"> </w:t>
      </w:r>
      <w:r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CZ.03.1.48/0.0/0.0/1</w:t>
      </w:r>
      <w:r w:rsidR="00E631ED"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5</w:t>
      </w:r>
      <w:r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_0</w:t>
      </w:r>
      <w:r w:rsidR="00E631ED"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10/0000013</w:t>
      </w:r>
    </w:p>
    <w:p w14:paraId="2EBAE413" w14:textId="67519DF4" w:rsidR="004A012A" w:rsidRPr="006F7453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F7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Doba realizace projektu: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1.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2016 do 3</w:t>
      </w:r>
      <w:r w:rsidR="00EF5368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10E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F5368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202</w:t>
      </w:r>
      <w:r w:rsidR="00210E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</w:p>
    <w:p w14:paraId="52CC6D91" w14:textId="77777777" w:rsidR="00B73F84" w:rsidRPr="006F7453" w:rsidRDefault="00B73F84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7942427" w14:textId="77777777" w:rsidR="004A012A" w:rsidRPr="006F7453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projekt je financován z Evropského sociálního fondu prostřednictvím Operačního programu Zaměstnanost a státního rozpočtu ČR. </w:t>
      </w:r>
    </w:p>
    <w:p w14:paraId="593BA2CA" w14:textId="77777777" w:rsidR="009F62F3" w:rsidRPr="006F7453" w:rsidRDefault="000F2DD9" w:rsidP="004A012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pict w14:anchorId="444B045C">
          <v:rect id="_x0000_i1025" style="width:0;height:.75pt" o:hralign="center" o:hrstd="t" o:hr="t" fillcolor="#a0a0a0" stroked="f"/>
        </w:pict>
      </w:r>
    </w:p>
    <w:p w14:paraId="5FE1092E" w14:textId="77777777" w:rsidR="00491A9F" w:rsidRPr="006F7453" w:rsidRDefault="003A03FC" w:rsidP="003A03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6F7453">
        <w:rPr>
          <w:rFonts w:ascii="Arial" w:eastAsia="Times New Roman" w:hAnsi="Arial" w:cs="Arial"/>
          <w:b/>
          <w:bCs/>
          <w:color w:val="CC0000"/>
          <w:sz w:val="28"/>
          <w:szCs w:val="28"/>
        </w:rPr>
        <w:t>Popis projektu</w:t>
      </w:r>
    </w:p>
    <w:p w14:paraId="572A15D5" w14:textId="77777777" w:rsidR="007D22BF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Projekt „Začínáme po 50 ve Středočeském kraji II“ se zabývá problematikou osob starších 50 let věku, které jsou znevýhodněnými osobami na trhu práce, proto je jim třeba věnovat zvýšenou pozornost. </w:t>
      </w:r>
    </w:p>
    <w:p w14:paraId="04946A58" w14:textId="77777777" w:rsidR="007D22BF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Klienti absolvují jednotlivé aktivity projektu, aby se stali atraktivními pro zaměstnavatele na trhu práce, případně aby sami zahájili samostatně výdělečnou činnost. Péče o klienta bude komplexní a bude zahrnovat celou řadu možností přispění k dosažení hlavního cíle projektu</w:t>
      </w:r>
      <w:r w:rsidR="007D22BF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, kterým je, aby účastník nalezl zaměstnání během nebo krátce po své účasti v projektu, a aby se celkově zvýšila jeho zaměstnatelnost.</w:t>
      </w:r>
    </w:p>
    <w:p w14:paraId="4CC05CE7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0AB8E6D5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</w:pPr>
      <w:r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>Pro koho je projekt určen?</w:t>
      </w:r>
    </w:p>
    <w:p w14:paraId="727C35D8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Cílovou skupinou projektu jsou uchazeči o zaměstnání nad 50 let věku bez ohledu na délku evidence na ÚP ČR a dosaženého vzdělání. </w:t>
      </w:r>
    </w:p>
    <w:p w14:paraId="222A8FB7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55D816DA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</w:pPr>
      <w:r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 xml:space="preserve">Jaké aktivity </w:t>
      </w:r>
      <w:r w:rsidR="007D22BF"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>jsou</w:t>
      </w:r>
      <w:r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 xml:space="preserve"> v projektu realizovány?</w:t>
      </w:r>
    </w:p>
    <w:p w14:paraId="5DF18BF3" w14:textId="3CA8EFFA" w:rsidR="00C335AB" w:rsidRPr="006F7453" w:rsidRDefault="00C335AB" w:rsidP="007D22BF">
      <w:pPr>
        <w:pStyle w:val="Odstavecseseznamem"/>
        <w:numPr>
          <w:ilvl w:val="0"/>
          <w:numId w:val="5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 xml:space="preserve">Výběr účastníků </w:t>
      </w:r>
      <w:proofErr w:type="gramStart"/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-  je</w:t>
      </w:r>
      <w:proofErr w:type="gramEnd"/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prováděn ve spolupráci s jednotlivými úřady práce v kraji.   Potenciální klienti z řad cílové skupiny projektu budou pozváni na skupinovou schůzku s odborným pracovníkem projektu, kde bude účastníkům představen smysl a obsah projektu. Celkem do projektu bude zařazeno min. </w:t>
      </w:r>
      <w:r w:rsidR="00EF5368"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8</w:t>
      </w:r>
      <w:r w:rsidR="00210E9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65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klientů. </w:t>
      </w:r>
    </w:p>
    <w:p w14:paraId="1692D28E" w14:textId="77777777"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19A44CEF" w14:textId="1EAC785B" w:rsidR="00C335AB" w:rsidRPr="006F7453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>Úvodní modul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– Blok informační, BOZP a Právní minimum (rozsah 6 hodin), Blok Poradenského </w:t>
      </w:r>
      <w:proofErr w:type="gramStart"/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programu - obsahem</w:t>
      </w:r>
      <w:proofErr w:type="gramEnd"/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je rozvoj sebeprezentace, rozvoj komunikačních a sociálních dovedností, nácvik dovedností a technik vyhledávání zaměstnání, apod. (rozsah 2</w:t>
      </w:r>
      <w:r w:rsidR="00EF5368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0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hodin) a Blok Finanční gramotnosti – seznámení se s rozdíly finančních produktů, poskytování úvěru a jeho úročení, exekuce atd. (rozsah 20 hodin). Modul je určen pro min. </w:t>
      </w:r>
      <w:r w:rsidR="00EF5368"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8</w:t>
      </w:r>
      <w:r w:rsidR="00210E9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65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klientů.</w:t>
      </w:r>
    </w:p>
    <w:p w14:paraId="4F281AE8" w14:textId="77777777"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509D04F5" w14:textId="6FBA9D39" w:rsidR="00C335AB" w:rsidRPr="006F7453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proofErr w:type="gramStart"/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>Rekvalifikace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- cílem</w:t>
      </w:r>
      <w:proofErr w:type="gramEnd"/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aktivity je umístění klientů do vhodných rekvalifikačních kurzů vedoucí k získání nové kvalifikace či ke zvýšení nebo prohloubení kvalifikace stávající.  Celkem je plánováno zajistit </w:t>
      </w:r>
      <w:r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2</w:t>
      </w:r>
      <w:r w:rsidR="00210E9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24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rekvalifikací.</w:t>
      </w:r>
    </w:p>
    <w:p w14:paraId="32D3FA34" w14:textId="77777777"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09327682" w14:textId="77777777" w:rsidR="00C335AB" w:rsidRPr="006F7453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lastRenderedPageBreak/>
        <w:t xml:space="preserve">Individuální podpora a </w:t>
      </w:r>
      <w:proofErr w:type="gramStart"/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>poradenství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- cílem</w:t>
      </w:r>
      <w:proofErr w:type="gramEnd"/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aktivity je formou poradenství zvýšení motivace klientů projektu a zjištění jejich pracovního potenciálu. Aktivita zahrnuje možnost konzultace aktuální situace, schopností, dovednost a možností vedoucí k zapojení se zpět na trh práce, zjištění možností konkrétního pracovního uplatnění pro klienta projektu. </w:t>
      </w:r>
    </w:p>
    <w:p w14:paraId="6FF915FE" w14:textId="77777777"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41CD9707" w14:textId="77777777" w:rsidR="00C335AB" w:rsidRPr="006F7453" w:rsidRDefault="00C335AB" w:rsidP="007D22BF">
      <w:pPr>
        <w:pStyle w:val="Odstavecseseznamem"/>
        <w:numPr>
          <w:ilvl w:val="0"/>
          <w:numId w:val="4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>Doprovodná opatření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– úhrada cestovného, příspěvek na zdravotní prohlídku a příspěvek na výpis z rejstříku trestů pro výkon některých rekvalifikací.</w:t>
      </w:r>
    </w:p>
    <w:p w14:paraId="194FB401" w14:textId="6BABA86B" w:rsidR="007D22BF" w:rsidRDefault="007D22BF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336901A4" w14:textId="77777777" w:rsidR="000F2DD9" w:rsidRPr="006F7453" w:rsidRDefault="000F2DD9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21B93F31" w14:textId="54E537DC" w:rsidR="00C335AB" w:rsidRPr="006F7453" w:rsidRDefault="00C335AB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Projekt </w:t>
      </w:r>
      <w:r w:rsidR="007D22BF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probíhá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ve 12 okresech Středočeského kraje celkem po dobu</w:t>
      </w:r>
      <w:r w:rsidR="00EF5368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210E9D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8</w:t>
      </w:r>
      <w:r w:rsidR="00EF5368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8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měsíců. </w:t>
      </w:r>
    </w:p>
    <w:p w14:paraId="5AB9F073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2A4A47B7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Projekt 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„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Začínáme po 50 ve Středočeském kraji II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“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navazuje na dříve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úspěšně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realizovaný projekt 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„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Začínáme po 50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“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, který byl financovaný z Operačního programu Lidské zdroje a zaměstnanost a státního rozpočtu ČR.</w:t>
      </w:r>
    </w:p>
    <w:p w14:paraId="7EAE0C72" w14:textId="77777777" w:rsidR="007D22BF" w:rsidRPr="006F7453" w:rsidRDefault="007D22BF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762070DD" w14:textId="77777777" w:rsidR="0036575B" w:rsidRPr="006F7453" w:rsidRDefault="005E1928" w:rsidP="00080A4E">
      <w:pPr>
        <w:shd w:val="clear" w:color="auto" w:fill="FFFFFF"/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6F7453">
        <w:rPr>
          <w:rFonts w:ascii="Arial" w:eastAsia="Times New Roman" w:hAnsi="Arial" w:cs="Arial"/>
          <w:b/>
          <w:bCs/>
          <w:color w:val="CC0000"/>
          <w:sz w:val="28"/>
          <w:szCs w:val="28"/>
        </w:rPr>
        <w:t>Kontakty</w:t>
      </w:r>
    </w:p>
    <w:p w14:paraId="5596CD70" w14:textId="77777777" w:rsidR="00D45BA5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/>
          <w:bCs/>
          <w:sz w:val="24"/>
          <w:szCs w:val="24"/>
        </w:rPr>
        <w:t>Jana Španihelová</w:t>
      </w:r>
      <w:r w:rsidR="00D45BA5" w:rsidRPr="006F7453">
        <w:rPr>
          <w:rFonts w:ascii="Arial" w:eastAsia="Times New Roman" w:hAnsi="Arial" w:cs="Arial"/>
          <w:bCs/>
          <w:sz w:val="24"/>
          <w:szCs w:val="24"/>
        </w:rPr>
        <w:t xml:space="preserve"> – projektový manažer</w:t>
      </w:r>
    </w:p>
    <w:p w14:paraId="155424F8" w14:textId="77777777"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Cs/>
          <w:sz w:val="24"/>
          <w:szCs w:val="24"/>
        </w:rPr>
        <w:t xml:space="preserve">tel.: 950 156 456, e-mail: </w:t>
      </w:r>
      <w:hyperlink r:id="rId7" w:history="1">
        <w:r w:rsidRPr="006F7453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jana.spanihelova@uradprace.cz</w:t>
        </w:r>
      </w:hyperlink>
    </w:p>
    <w:p w14:paraId="581B0B6B" w14:textId="77777777"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14:paraId="2091F319" w14:textId="640DE988" w:rsidR="00D45BA5" w:rsidRPr="006F7453" w:rsidRDefault="00210E9D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Simona Baudischová, DiS.</w:t>
      </w:r>
      <w:r w:rsidR="00D45BA5" w:rsidRPr="006F7453">
        <w:rPr>
          <w:rFonts w:ascii="Arial" w:eastAsia="Times New Roman" w:hAnsi="Arial" w:cs="Arial"/>
          <w:bCs/>
          <w:sz w:val="24"/>
          <w:szCs w:val="24"/>
        </w:rPr>
        <w:t xml:space="preserve"> – finanční manažer</w:t>
      </w:r>
    </w:p>
    <w:p w14:paraId="1A27B6CA" w14:textId="67C3797C"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Cs/>
          <w:sz w:val="24"/>
          <w:szCs w:val="24"/>
        </w:rPr>
        <w:t xml:space="preserve">tel.: 950 156 456, e-mail: </w:t>
      </w:r>
      <w:hyperlink r:id="rId8" w:history="1">
        <w:r w:rsidR="00210E9D" w:rsidRPr="00D872F4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simona.baudischova@uradprace.cz</w:t>
        </w:r>
      </w:hyperlink>
    </w:p>
    <w:p w14:paraId="009C1969" w14:textId="77777777" w:rsidR="008956A0" w:rsidRPr="006F7453" w:rsidRDefault="008956A0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14:paraId="7F878331" w14:textId="77777777" w:rsidR="00D45BA5" w:rsidRPr="006F7453" w:rsidRDefault="008956A0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/>
          <w:bCs/>
          <w:sz w:val="24"/>
          <w:szCs w:val="24"/>
        </w:rPr>
        <w:t>Romana Hochmannová</w:t>
      </w:r>
      <w:r w:rsidR="00D45BA5" w:rsidRPr="006F7453">
        <w:rPr>
          <w:rFonts w:ascii="Arial" w:eastAsia="Times New Roman" w:hAnsi="Arial" w:cs="Arial"/>
          <w:bCs/>
          <w:sz w:val="24"/>
          <w:szCs w:val="24"/>
        </w:rPr>
        <w:t xml:space="preserve"> – terénní pracovník</w:t>
      </w:r>
    </w:p>
    <w:p w14:paraId="0CC0FBE5" w14:textId="77777777" w:rsidR="008956A0" w:rsidRPr="006F7453" w:rsidRDefault="008956A0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Cs/>
          <w:sz w:val="24"/>
          <w:szCs w:val="24"/>
        </w:rPr>
        <w:t xml:space="preserve">tel.: 950 156 450, e-mail: </w:t>
      </w:r>
      <w:hyperlink r:id="rId9" w:history="1">
        <w:r w:rsidRPr="006F7453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romana.hochmannova@uradprace.cz</w:t>
        </w:r>
      </w:hyperlink>
    </w:p>
    <w:p w14:paraId="628C4067" w14:textId="77777777"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14:paraId="37434F09" w14:textId="77777777" w:rsidR="005E1928" w:rsidRPr="006F7453" w:rsidRDefault="0036575B" w:rsidP="0036575B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6F7453">
        <w:rPr>
          <w:rFonts w:ascii="Arial" w:hAnsi="Arial" w:cs="Arial"/>
          <w:b/>
          <w:sz w:val="24"/>
          <w:szCs w:val="24"/>
        </w:rPr>
        <w:t>Webové stránky projektu</w:t>
      </w:r>
      <w:r w:rsidR="005E1928" w:rsidRPr="006F7453">
        <w:rPr>
          <w:rFonts w:ascii="Arial" w:hAnsi="Arial" w:cs="Arial"/>
          <w:b/>
          <w:sz w:val="24"/>
          <w:szCs w:val="24"/>
        </w:rPr>
        <w:t>:</w:t>
      </w:r>
    </w:p>
    <w:p w14:paraId="2C3BCC69" w14:textId="77777777" w:rsidR="0036575B" w:rsidRPr="006F7453" w:rsidRDefault="000F2DD9" w:rsidP="0036575B">
      <w:pPr>
        <w:rPr>
          <w:rFonts w:ascii="Arial" w:hAnsi="Arial" w:cs="Arial"/>
        </w:rPr>
      </w:pPr>
      <w:hyperlink r:id="rId10" w:history="1">
        <w:r w:rsidR="0036575B" w:rsidRPr="006F7453">
          <w:rPr>
            <w:rStyle w:val="Hypertextovodkaz"/>
            <w:rFonts w:ascii="Arial" w:hAnsi="Arial" w:cs="Arial"/>
          </w:rPr>
          <w:t>https://www.uradprace.cz/web/cz/projekty-v-realizaci-2</w:t>
        </w:r>
      </w:hyperlink>
    </w:p>
    <w:p w14:paraId="0D1D9E35" w14:textId="77777777" w:rsidR="0036575B" w:rsidRPr="006F7453" w:rsidRDefault="0036575B" w:rsidP="0036575B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sz w:val="24"/>
          <w:szCs w:val="24"/>
        </w:rPr>
      </w:pPr>
    </w:p>
    <w:sectPr w:rsidR="0036575B" w:rsidRPr="006F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0113" w14:textId="77777777" w:rsidR="00D423EB" w:rsidRDefault="00D423EB" w:rsidP="00B73F84">
      <w:pPr>
        <w:spacing w:after="0" w:line="240" w:lineRule="auto"/>
      </w:pPr>
      <w:r>
        <w:separator/>
      </w:r>
    </w:p>
  </w:endnote>
  <w:endnote w:type="continuationSeparator" w:id="0">
    <w:p w14:paraId="00B35949" w14:textId="77777777" w:rsidR="00D423EB" w:rsidRDefault="00D423EB" w:rsidP="00B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249A" w14:textId="77777777" w:rsidR="00D423EB" w:rsidRDefault="00D423EB" w:rsidP="00B73F84">
      <w:pPr>
        <w:spacing w:after="0" w:line="240" w:lineRule="auto"/>
      </w:pPr>
      <w:r>
        <w:separator/>
      </w:r>
    </w:p>
  </w:footnote>
  <w:footnote w:type="continuationSeparator" w:id="0">
    <w:p w14:paraId="4FD0E804" w14:textId="77777777" w:rsidR="00D423EB" w:rsidRDefault="00D423EB" w:rsidP="00B7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B593" w14:textId="77777777" w:rsidR="00B73F84" w:rsidRDefault="00766886">
    <w:pPr>
      <w:pStyle w:val="Zhlav"/>
    </w:pPr>
    <w:r>
      <w:rPr>
        <w:noProof/>
        <w:lang w:eastAsia="cs-CZ"/>
      </w:rPr>
      <w:drawing>
        <wp:inline distT="0" distB="0" distL="0" distR="0" wp14:anchorId="6D2A208F" wp14:editId="042FFDBF">
          <wp:extent cx="3761740" cy="8597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1BE"/>
    <w:multiLevelType w:val="hybridMultilevel"/>
    <w:tmpl w:val="71C06C76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546"/>
    <w:multiLevelType w:val="hybridMultilevel"/>
    <w:tmpl w:val="C010B7CE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3997"/>
    <w:multiLevelType w:val="hybridMultilevel"/>
    <w:tmpl w:val="1ABE607A"/>
    <w:lvl w:ilvl="0" w:tplc="BB3C9A1A">
      <w:numFmt w:val="bullet"/>
      <w:lvlText w:val="-"/>
      <w:lvlJc w:val="left"/>
      <w:pPr>
        <w:ind w:left="1068" w:hanging="360"/>
      </w:pPr>
      <w:rPr>
        <w:rFonts w:ascii="Arial Black" w:eastAsiaTheme="minorEastAsia" w:hAnsi="Arial Black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9720E9"/>
    <w:multiLevelType w:val="hybridMultilevel"/>
    <w:tmpl w:val="6E844214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B14B0"/>
    <w:multiLevelType w:val="hybridMultilevel"/>
    <w:tmpl w:val="C0FE4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171E"/>
    <w:multiLevelType w:val="hybridMultilevel"/>
    <w:tmpl w:val="237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2A"/>
    <w:rsid w:val="00080A4E"/>
    <w:rsid w:val="00094C04"/>
    <w:rsid w:val="000D07F6"/>
    <w:rsid w:val="000F2DD9"/>
    <w:rsid w:val="0010706E"/>
    <w:rsid w:val="00154AF6"/>
    <w:rsid w:val="001601F5"/>
    <w:rsid w:val="001F4F06"/>
    <w:rsid w:val="00210E9D"/>
    <w:rsid w:val="002D4BEC"/>
    <w:rsid w:val="002E79F0"/>
    <w:rsid w:val="002F6511"/>
    <w:rsid w:val="0036575B"/>
    <w:rsid w:val="00370854"/>
    <w:rsid w:val="003A03FC"/>
    <w:rsid w:val="003A1998"/>
    <w:rsid w:val="003A494B"/>
    <w:rsid w:val="00400A94"/>
    <w:rsid w:val="00451C25"/>
    <w:rsid w:val="00491A9F"/>
    <w:rsid w:val="004A012A"/>
    <w:rsid w:val="0053625A"/>
    <w:rsid w:val="005377C8"/>
    <w:rsid w:val="00593976"/>
    <w:rsid w:val="005B03C6"/>
    <w:rsid w:val="005B20CC"/>
    <w:rsid w:val="005C766A"/>
    <w:rsid w:val="005D0879"/>
    <w:rsid w:val="005E1928"/>
    <w:rsid w:val="005E55B8"/>
    <w:rsid w:val="006356B5"/>
    <w:rsid w:val="00635DE3"/>
    <w:rsid w:val="00643183"/>
    <w:rsid w:val="006675BB"/>
    <w:rsid w:val="006B6181"/>
    <w:rsid w:val="006D43E0"/>
    <w:rsid w:val="006E0B68"/>
    <w:rsid w:val="006E2DAD"/>
    <w:rsid w:val="006F7453"/>
    <w:rsid w:val="00766886"/>
    <w:rsid w:val="007D22BF"/>
    <w:rsid w:val="007D2BAA"/>
    <w:rsid w:val="00886274"/>
    <w:rsid w:val="008956A0"/>
    <w:rsid w:val="008B7316"/>
    <w:rsid w:val="008D578A"/>
    <w:rsid w:val="008E50BC"/>
    <w:rsid w:val="00932269"/>
    <w:rsid w:val="009467E5"/>
    <w:rsid w:val="009D37A2"/>
    <w:rsid w:val="009F62F3"/>
    <w:rsid w:val="00A34056"/>
    <w:rsid w:val="00A76A83"/>
    <w:rsid w:val="00AC2F88"/>
    <w:rsid w:val="00B06E4E"/>
    <w:rsid w:val="00B137DC"/>
    <w:rsid w:val="00B15B47"/>
    <w:rsid w:val="00B73F84"/>
    <w:rsid w:val="00BC15C1"/>
    <w:rsid w:val="00BE023D"/>
    <w:rsid w:val="00BE3148"/>
    <w:rsid w:val="00BE6F49"/>
    <w:rsid w:val="00C335AB"/>
    <w:rsid w:val="00C9796C"/>
    <w:rsid w:val="00D071D9"/>
    <w:rsid w:val="00D423EB"/>
    <w:rsid w:val="00D45BA5"/>
    <w:rsid w:val="00DA2F77"/>
    <w:rsid w:val="00E03F31"/>
    <w:rsid w:val="00E631ED"/>
    <w:rsid w:val="00E74B5D"/>
    <w:rsid w:val="00EB450C"/>
    <w:rsid w:val="00EB640A"/>
    <w:rsid w:val="00EF2CED"/>
    <w:rsid w:val="00EF5368"/>
    <w:rsid w:val="00F12956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DEDE71"/>
  <w15:docId w15:val="{12F39E02-5BA2-4742-A549-C185985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012A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2A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12A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2A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A012A"/>
  </w:style>
  <w:style w:type="paragraph" w:styleId="Zhlav">
    <w:name w:val="header"/>
    <w:basedOn w:val="Normln"/>
    <w:link w:val="Zhlav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84"/>
  </w:style>
  <w:style w:type="paragraph" w:styleId="Zpat">
    <w:name w:val="footer"/>
    <w:basedOn w:val="Normln"/>
    <w:link w:val="Zpat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84"/>
  </w:style>
  <w:style w:type="paragraph" w:styleId="Textbubliny">
    <w:name w:val="Balloon Text"/>
    <w:basedOn w:val="Normln"/>
    <w:link w:val="TextbublinyChar"/>
    <w:uiPriority w:val="99"/>
    <w:semiHidden/>
    <w:unhideWhenUsed/>
    <w:rsid w:val="00B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7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F31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EB6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1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baudischova@uradpr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spanihelova@uradpr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radprace.cz/web/cz/projekty-v-realizaci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a.hochmann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Španihelová Jana (UPS-KRP)</cp:lastModifiedBy>
  <cp:revision>3</cp:revision>
  <cp:lastPrinted>2016-02-05T06:53:00Z</cp:lastPrinted>
  <dcterms:created xsi:type="dcterms:W3CDTF">2022-06-30T11:29:00Z</dcterms:created>
  <dcterms:modified xsi:type="dcterms:W3CDTF">2022-06-30T11:30:00Z</dcterms:modified>
</cp:coreProperties>
</file>