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B5C1" w14:textId="45C7B290" w:rsidR="00D97259" w:rsidRPr="007D2E88" w:rsidRDefault="00D97259" w:rsidP="007D2E8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7D92158B" w14:textId="30B0322B" w:rsidR="007D2E88" w:rsidRPr="007D2E88" w:rsidRDefault="007D2E88" w:rsidP="00D83F04">
      <w:pPr>
        <w:jc w:val="center"/>
        <w:rPr>
          <w:rFonts w:ascii="Arial" w:hAnsi="Arial" w:cs="Arial"/>
          <w:sz w:val="24"/>
        </w:rPr>
      </w:pPr>
      <w:r w:rsidRPr="007D2E88">
        <w:rPr>
          <w:rFonts w:ascii="Arial" w:hAnsi="Arial" w:cs="Arial"/>
          <w:b/>
          <w:sz w:val="32"/>
          <w:szCs w:val="32"/>
        </w:rPr>
        <w:t xml:space="preserve">Analýza Hospodářské komory: Nový stavební zákon bude vyhovovat jen úředníkům. </w:t>
      </w:r>
      <w:r w:rsidR="00D83F04" w:rsidRPr="00D83F04">
        <w:rPr>
          <w:rFonts w:ascii="Arial" w:hAnsi="Arial" w:cs="Arial"/>
          <w:b/>
          <w:sz w:val="32"/>
          <w:szCs w:val="32"/>
        </w:rPr>
        <w:t>Ani 13 500 slov navíc zrychlení procesu a jis</w:t>
      </w:r>
      <w:bookmarkStart w:id="0" w:name="_GoBack"/>
      <w:bookmarkEnd w:id="0"/>
      <w:r w:rsidR="00D83F04" w:rsidRPr="00D83F04">
        <w:rPr>
          <w:rFonts w:ascii="Arial" w:hAnsi="Arial" w:cs="Arial"/>
          <w:b/>
          <w:sz w:val="32"/>
          <w:szCs w:val="32"/>
        </w:rPr>
        <w:t>totu lidem nepřin</w:t>
      </w:r>
      <w:r w:rsidR="00B41660">
        <w:rPr>
          <w:rFonts w:ascii="Arial" w:hAnsi="Arial" w:cs="Arial"/>
          <w:b/>
          <w:sz w:val="32"/>
          <w:szCs w:val="32"/>
        </w:rPr>
        <w:t>ese</w:t>
      </w:r>
    </w:p>
    <w:p w14:paraId="199560A5" w14:textId="6925E12B" w:rsidR="007D2E88" w:rsidRPr="007D2E88" w:rsidRDefault="00524417" w:rsidP="007D2E8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Praha, 24</w:t>
      </w:r>
      <w:r w:rsidR="007D2E88" w:rsidRPr="007D2E88">
        <w:rPr>
          <w:rFonts w:ascii="Arial" w:hAnsi="Arial" w:cs="Arial"/>
          <w:i/>
          <w:sz w:val="24"/>
        </w:rPr>
        <w:t>. června 2020</w:t>
      </w:r>
      <w:r w:rsidR="007D2E88" w:rsidRPr="007D2E88">
        <w:rPr>
          <w:rFonts w:ascii="Arial" w:hAnsi="Arial" w:cs="Arial"/>
          <w:sz w:val="24"/>
        </w:rPr>
        <w:t xml:space="preserve"> </w:t>
      </w:r>
      <w:r w:rsidR="007D2E88">
        <w:rPr>
          <w:rFonts w:ascii="Arial" w:hAnsi="Arial" w:cs="Arial"/>
          <w:sz w:val="24"/>
        </w:rPr>
        <w:t>–</w:t>
      </w:r>
      <w:r w:rsidR="007D2E88" w:rsidRPr="007D2E88">
        <w:rPr>
          <w:rFonts w:ascii="Arial" w:hAnsi="Arial" w:cs="Arial"/>
          <w:sz w:val="24"/>
        </w:rPr>
        <w:t xml:space="preserve"> </w:t>
      </w:r>
      <w:r w:rsidR="007D2E88" w:rsidRPr="001D5DF0">
        <w:rPr>
          <w:rFonts w:ascii="Arial" w:hAnsi="Arial" w:cs="Arial"/>
          <w:b/>
          <w:sz w:val="24"/>
        </w:rPr>
        <w:t xml:space="preserve">Zákony mají být pro lidi. Legislativní rada vlády, tedy nejvyšší poradní orgán vlády v oblasti její legislativní činnosti, ale tento čtvrtek projedná nový stavební zákon, který je učebnicovým příkladem resortismu veřejné správy a který bude vyhovovat </w:t>
      </w:r>
      <w:r w:rsidR="007D14BD">
        <w:rPr>
          <w:rFonts w:ascii="Arial" w:hAnsi="Arial" w:cs="Arial"/>
          <w:b/>
          <w:sz w:val="24"/>
        </w:rPr>
        <w:t>p</w:t>
      </w:r>
      <w:r w:rsidR="00E864C0">
        <w:rPr>
          <w:rFonts w:ascii="Arial" w:hAnsi="Arial" w:cs="Arial"/>
          <w:b/>
          <w:sz w:val="24"/>
        </w:rPr>
        <w:t>ř</w:t>
      </w:r>
      <w:r w:rsidR="007D14BD">
        <w:rPr>
          <w:rFonts w:ascii="Arial" w:hAnsi="Arial" w:cs="Arial"/>
          <w:b/>
          <w:sz w:val="24"/>
        </w:rPr>
        <w:t>evážně</w:t>
      </w:r>
      <w:r w:rsidR="007D2E88" w:rsidRPr="001D5DF0">
        <w:rPr>
          <w:rFonts w:ascii="Arial" w:hAnsi="Arial" w:cs="Arial"/>
          <w:b/>
          <w:sz w:val="24"/>
        </w:rPr>
        <w:t xml:space="preserve"> úředníkům, upozorňuje Hospod</w:t>
      </w:r>
      <w:r w:rsidR="001D5DF0" w:rsidRPr="001D5DF0">
        <w:rPr>
          <w:rFonts w:ascii="Arial" w:hAnsi="Arial" w:cs="Arial"/>
          <w:b/>
          <w:sz w:val="24"/>
        </w:rPr>
        <w:t>ářská komora České republiky.  P</w:t>
      </w:r>
      <w:r w:rsidR="007D2E88" w:rsidRPr="001D5DF0">
        <w:rPr>
          <w:rFonts w:ascii="Arial" w:hAnsi="Arial" w:cs="Arial"/>
          <w:b/>
          <w:sz w:val="24"/>
        </w:rPr>
        <w:t>o</w:t>
      </w:r>
      <w:r w:rsidR="006E58DB">
        <w:rPr>
          <w:rFonts w:ascii="Arial" w:hAnsi="Arial" w:cs="Arial"/>
          <w:b/>
          <w:sz w:val="24"/>
        </w:rPr>
        <w:t xml:space="preserve">dle jejího rozboru nového stavebního zákona </w:t>
      </w:r>
      <w:r w:rsidR="000942AD" w:rsidRPr="001D5DF0">
        <w:rPr>
          <w:rFonts w:ascii="Arial" w:hAnsi="Arial" w:cs="Arial"/>
          <w:b/>
          <w:sz w:val="24"/>
        </w:rPr>
        <w:t>tak</w:t>
      </w:r>
      <w:r w:rsidR="000942AD">
        <w:rPr>
          <w:rFonts w:ascii="Arial" w:hAnsi="Arial" w:cs="Arial"/>
          <w:b/>
          <w:sz w:val="24"/>
        </w:rPr>
        <w:t xml:space="preserve"> </w:t>
      </w:r>
      <w:r w:rsidR="006E58DB">
        <w:rPr>
          <w:rFonts w:ascii="Arial" w:hAnsi="Arial" w:cs="Arial"/>
          <w:b/>
          <w:sz w:val="24"/>
        </w:rPr>
        <w:t>po</w:t>
      </w:r>
      <w:r w:rsidR="007D2E88" w:rsidRPr="001D5DF0">
        <w:rPr>
          <w:rFonts w:ascii="Arial" w:hAnsi="Arial" w:cs="Arial"/>
          <w:b/>
          <w:sz w:val="24"/>
        </w:rPr>
        <w:t xml:space="preserve">volování staveb </w:t>
      </w:r>
      <w:r w:rsidR="001D5DF0" w:rsidRPr="001D5DF0">
        <w:rPr>
          <w:rFonts w:ascii="Arial" w:hAnsi="Arial" w:cs="Arial"/>
          <w:b/>
          <w:sz w:val="24"/>
        </w:rPr>
        <w:t xml:space="preserve">opět </w:t>
      </w:r>
      <w:r w:rsidR="007D2E88" w:rsidRPr="001D5DF0">
        <w:rPr>
          <w:rFonts w:ascii="Arial" w:hAnsi="Arial" w:cs="Arial"/>
          <w:b/>
          <w:sz w:val="24"/>
        </w:rPr>
        <w:t xml:space="preserve">skončí bez potřebné reformy. Rekodifikace stavebního práva přitom vyžaduje </w:t>
      </w:r>
      <w:r w:rsidR="00D83F04" w:rsidRPr="001D5DF0">
        <w:rPr>
          <w:rFonts w:ascii="Arial" w:hAnsi="Arial" w:cs="Arial"/>
          <w:b/>
          <w:sz w:val="24"/>
        </w:rPr>
        <w:t>úpravu</w:t>
      </w:r>
      <w:r w:rsidR="007D2E88" w:rsidRPr="001D5DF0">
        <w:rPr>
          <w:rFonts w:ascii="Arial" w:hAnsi="Arial" w:cs="Arial"/>
          <w:b/>
          <w:sz w:val="24"/>
        </w:rPr>
        <w:t xml:space="preserve"> uspořádání státní správy, územního plánování, v požadavcích na výstavbu, v samotném procesu i soudním přezkumu.</w:t>
      </w:r>
      <w:r w:rsidR="007D2E88" w:rsidRPr="007D2E88">
        <w:rPr>
          <w:rFonts w:ascii="Arial" w:hAnsi="Arial" w:cs="Arial"/>
          <w:sz w:val="24"/>
        </w:rPr>
        <w:t xml:space="preserve"> </w:t>
      </w:r>
    </w:p>
    <w:p w14:paraId="650DEB0D" w14:textId="3EC23EE5" w:rsidR="007D2E88" w:rsidRDefault="007D2E88" w:rsidP="007D2E88">
      <w:pPr>
        <w:jc w:val="both"/>
        <w:rPr>
          <w:rFonts w:ascii="Arial" w:hAnsi="Arial" w:cs="Arial"/>
          <w:sz w:val="24"/>
        </w:rPr>
      </w:pPr>
      <w:r w:rsidRPr="007D2E88">
        <w:rPr>
          <w:rFonts w:ascii="Arial" w:hAnsi="Arial" w:cs="Arial"/>
          <w:sz w:val="24"/>
        </w:rPr>
        <w:t xml:space="preserve">Hospodářská komora připomíná, že podle původního konceptu měla vzniknout </w:t>
      </w:r>
      <w:r w:rsidRPr="007D2E88">
        <w:rPr>
          <w:rFonts w:ascii="Arial" w:hAnsi="Arial" w:cs="Arial"/>
          <w:b/>
          <w:sz w:val="24"/>
        </w:rPr>
        <w:t xml:space="preserve">jednotná </w:t>
      </w:r>
      <w:r w:rsidR="00B41CC1">
        <w:rPr>
          <w:rFonts w:ascii="Arial" w:hAnsi="Arial" w:cs="Arial"/>
          <w:b/>
          <w:sz w:val="24"/>
        </w:rPr>
        <w:t>a nezávislá státní stavební správa</w:t>
      </w:r>
      <w:r w:rsidRPr="007D2E88">
        <w:rPr>
          <w:rFonts w:ascii="Arial" w:hAnsi="Arial" w:cs="Arial"/>
          <w:b/>
          <w:sz w:val="24"/>
        </w:rPr>
        <w:t xml:space="preserve"> navržená po vzoru funkčních katastrálních úřadů</w:t>
      </w:r>
      <w:r>
        <w:rPr>
          <w:rFonts w:ascii="Arial" w:hAnsi="Arial" w:cs="Arial"/>
          <w:sz w:val="24"/>
        </w:rPr>
        <w:t>. Měl vzniknout Nejvyšší stavební úřad</w:t>
      </w:r>
      <w:r w:rsidRPr="007D2E88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 xml:space="preserve">soustava </w:t>
      </w:r>
      <w:r w:rsidRPr="007D2E88">
        <w:rPr>
          <w:rFonts w:ascii="Arial" w:hAnsi="Arial" w:cs="Arial"/>
          <w:sz w:val="24"/>
        </w:rPr>
        <w:t>územních stavební</w:t>
      </w:r>
      <w:r>
        <w:rPr>
          <w:rFonts w:ascii="Arial" w:hAnsi="Arial" w:cs="Arial"/>
          <w:sz w:val="24"/>
        </w:rPr>
        <w:t>ch úřadů.</w:t>
      </w:r>
    </w:p>
    <w:p w14:paraId="583A1C8E" w14:textId="6BEE159B" w:rsidR="007D2E88" w:rsidRDefault="001D5DF0" w:rsidP="007D2E88">
      <w:pPr>
        <w:jc w:val="both"/>
        <w:rPr>
          <w:rFonts w:ascii="Arial" w:hAnsi="Arial" w:cs="Arial"/>
          <w:sz w:val="24"/>
        </w:rPr>
      </w:pPr>
      <w:r w:rsidRPr="001D5DF0">
        <w:rPr>
          <w:rFonts w:ascii="Arial" w:hAnsi="Arial" w:cs="Arial"/>
          <w:i/>
          <w:sz w:val="24"/>
        </w:rPr>
        <w:t>„</w:t>
      </w:r>
      <w:r w:rsidR="007D2E88" w:rsidRPr="001D5DF0">
        <w:rPr>
          <w:rFonts w:ascii="Arial" w:hAnsi="Arial" w:cs="Arial"/>
          <w:i/>
          <w:sz w:val="24"/>
        </w:rPr>
        <w:t xml:space="preserve">Místo toho </w:t>
      </w:r>
      <w:r w:rsidR="007D14BD">
        <w:rPr>
          <w:rFonts w:ascii="Arial" w:hAnsi="Arial" w:cs="Arial"/>
          <w:i/>
          <w:sz w:val="24"/>
        </w:rPr>
        <w:t>bylo ale provedeno</w:t>
      </w:r>
      <w:r w:rsidR="00D83F04">
        <w:rPr>
          <w:rFonts w:ascii="Arial" w:hAnsi="Arial" w:cs="Arial"/>
          <w:i/>
          <w:sz w:val="24"/>
        </w:rPr>
        <w:t xml:space="preserve"> fatální</w:t>
      </w:r>
      <w:r w:rsidR="007D14BD">
        <w:rPr>
          <w:rFonts w:ascii="Arial" w:hAnsi="Arial" w:cs="Arial"/>
          <w:i/>
          <w:sz w:val="24"/>
        </w:rPr>
        <w:t xml:space="preserve"> </w:t>
      </w:r>
      <w:r w:rsidR="00D83F04">
        <w:rPr>
          <w:rFonts w:ascii="Arial" w:hAnsi="Arial" w:cs="Arial"/>
          <w:i/>
          <w:sz w:val="24"/>
        </w:rPr>
        <w:t xml:space="preserve">množství </w:t>
      </w:r>
      <w:r w:rsidR="007D14BD">
        <w:rPr>
          <w:rFonts w:ascii="Arial" w:hAnsi="Arial" w:cs="Arial"/>
          <w:i/>
          <w:sz w:val="24"/>
        </w:rPr>
        <w:t>ústupků</w:t>
      </w:r>
      <w:r w:rsidR="007D2E88" w:rsidRPr="001D5DF0">
        <w:rPr>
          <w:rFonts w:ascii="Arial" w:hAnsi="Arial" w:cs="Arial"/>
          <w:i/>
          <w:sz w:val="24"/>
        </w:rPr>
        <w:t xml:space="preserve"> obcím</w:t>
      </w:r>
      <w:r w:rsidR="007D14BD">
        <w:rPr>
          <w:rFonts w:ascii="Arial" w:hAnsi="Arial" w:cs="Arial"/>
          <w:i/>
          <w:sz w:val="24"/>
        </w:rPr>
        <w:t xml:space="preserve"> i rezortům</w:t>
      </w:r>
      <w:r w:rsidR="007D2E88" w:rsidRPr="001D5DF0">
        <w:rPr>
          <w:rFonts w:ascii="Arial" w:hAnsi="Arial" w:cs="Arial"/>
          <w:i/>
          <w:sz w:val="24"/>
        </w:rPr>
        <w:t xml:space="preserve"> a vytváří se </w:t>
      </w:r>
      <w:r w:rsidR="007D2E88" w:rsidRPr="001D5DF0">
        <w:rPr>
          <w:rFonts w:ascii="Arial" w:hAnsi="Arial" w:cs="Arial"/>
          <w:b/>
          <w:i/>
          <w:sz w:val="24"/>
        </w:rPr>
        <w:t>hybridní soustava obecních a státních stavebních úřadů s nejasnými vztahy a působností</w:t>
      </w:r>
      <w:r w:rsidR="007D2E88" w:rsidRPr="001D5DF0">
        <w:rPr>
          <w:rFonts w:ascii="Arial" w:hAnsi="Arial" w:cs="Arial"/>
          <w:i/>
          <w:sz w:val="24"/>
        </w:rPr>
        <w:t>.</w:t>
      </w:r>
      <w:r w:rsidR="00D83F04">
        <w:rPr>
          <w:rFonts w:ascii="Arial" w:hAnsi="Arial" w:cs="Arial"/>
          <w:i/>
          <w:sz w:val="24"/>
        </w:rPr>
        <w:t xml:space="preserve"> Kolik těchto úřadů nakonec vlastně bude</w:t>
      </w:r>
      <w:r w:rsidR="00813C27">
        <w:rPr>
          <w:rFonts w:ascii="Arial" w:hAnsi="Arial" w:cs="Arial"/>
          <w:i/>
          <w:sz w:val="24"/>
        </w:rPr>
        <w:t>,</w:t>
      </w:r>
      <w:r w:rsidR="00D83F04">
        <w:rPr>
          <w:rFonts w:ascii="Arial" w:hAnsi="Arial" w:cs="Arial"/>
          <w:i/>
          <w:sz w:val="24"/>
        </w:rPr>
        <w:t xml:space="preserve"> není navíc nyní ani jisté, protože to se ukáže až po vydání vyhlášky Ministerstvem vnitra.</w:t>
      </w:r>
      <w:r w:rsidR="007D2E88" w:rsidRPr="001D5DF0">
        <w:rPr>
          <w:rFonts w:ascii="Arial" w:hAnsi="Arial" w:cs="Arial"/>
          <w:i/>
          <w:sz w:val="24"/>
        </w:rPr>
        <w:t xml:space="preserve"> To povede </w:t>
      </w:r>
      <w:r w:rsidR="007D2E88" w:rsidRPr="001D5DF0">
        <w:rPr>
          <w:rFonts w:ascii="Arial" w:hAnsi="Arial" w:cs="Arial"/>
          <w:b/>
          <w:i/>
          <w:sz w:val="24"/>
        </w:rPr>
        <w:t>k rozštěpení obecných stavebních úřadů, speciálních stavebních úřadů a jiných stavebních úřadů do podobného stavu</w:t>
      </w:r>
      <w:r w:rsidR="00813C27">
        <w:rPr>
          <w:rFonts w:ascii="Arial" w:hAnsi="Arial" w:cs="Arial"/>
          <w:b/>
          <w:i/>
          <w:sz w:val="24"/>
        </w:rPr>
        <w:t>,</w:t>
      </w:r>
      <w:r w:rsidR="007D2E88" w:rsidRPr="001D5DF0">
        <w:rPr>
          <w:rFonts w:ascii="Arial" w:hAnsi="Arial" w:cs="Arial"/>
          <w:b/>
          <w:i/>
          <w:sz w:val="24"/>
        </w:rPr>
        <w:t xml:space="preserve"> jako je dnes</w:t>
      </w:r>
      <w:r w:rsidRPr="001D5DF0">
        <w:rPr>
          <w:rFonts w:ascii="Arial" w:hAnsi="Arial" w:cs="Arial"/>
          <w:i/>
          <w:sz w:val="24"/>
        </w:rPr>
        <w:t>,“</w:t>
      </w:r>
      <w:r>
        <w:rPr>
          <w:rFonts w:ascii="Arial" w:hAnsi="Arial" w:cs="Arial"/>
          <w:sz w:val="24"/>
        </w:rPr>
        <w:t xml:space="preserve"> upozorňuje prezident Hos</w:t>
      </w:r>
      <w:r w:rsidR="006E58DB">
        <w:rPr>
          <w:rFonts w:ascii="Arial" w:hAnsi="Arial" w:cs="Arial"/>
          <w:sz w:val="24"/>
        </w:rPr>
        <w:t>podářské komory Vladimír Dlouhý.</w:t>
      </w:r>
      <w:r w:rsidR="00D83F04">
        <w:rPr>
          <w:rFonts w:ascii="Arial" w:hAnsi="Arial" w:cs="Arial"/>
          <w:sz w:val="24"/>
        </w:rPr>
        <w:t xml:space="preserve"> Přitom právě tento stav je příčinou většiny současných problémů v oblasti výstavby v České republice. </w:t>
      </w:r>
      <w:r w:rsidR="006E58DB">
        <w:rPr>
          <w:rFonts w:ascii="Arial" w:hAnsi="Arial" w:cs="Arial"/>
          <w:sz w:val="24"/>
        </w:rPr>
        <w:t xml:space="preserve"> </w:t>
      </w:r>
      <w:r w:rsidR="007D2E88">
        <w:rPr>
          <w:rFonts w:ascii="Arial" w:hAnsi="Arial" w:cs="Arial"/>
          <w:sz w:val="24"/>
        </w:rPr>
        <w:t xml:space="preserve"> </w:t>
      </w:r>
    </w:p>
    <w:p w14:paraId="3F3B91BE" w14:textId="6F2B9FE4" w:rsidR="001D5DF0" w:rsidRDefault="004D580E" w:rsidP="001D5DF0">
      <w:pPr>
        <w:jc w:val="both"/>
        <w:rPr>
          <w:rFonts w:ascii="Arial" w:hAnsi="Arial" w:cs="Arial"/>
          <w:sz w:val="24"/>
        </w:rPr>
      </w:pPr>
      <w:r w:rsidRPr="00DB0037">
        <w:rPr>
          <w:rFonts w:ascii="Arial" w:hAnsi="Arial" w:cs="Arial"/>
          <w:iCs/>
          <w:sz w:val="24"/>
        </w:rPr>
        <w:t>Šance</w:t>
      </w:r>
      <w:r w:rsidR="007D2E88" w:rsidRPr="00DB0037">
        <w:rPr>
          <w:rFonts w:ascii="Arial" w:hAnsi="Arial" w:cs="Arial"/>
          <w:iCs/>
          <w:sz w:val="24"/>
        </w:rPr>
        <w:t>,</w:t>
      </w:r>
      <w:r w:rsidR="007D2E88" w:rsidRPr="007D2E88">
        <w:rPr>
          <w:rFonts w:ascii="Arial" w:hAnsi="Arial" w:cs="Arial"/>
          <w:sz w:val="24"/>
        </w:rPr>
        <w:t xml:space="preserve"> aby novou strukturou stavebních úřadů, posílením jejich odborné kompetence, technického vybavení, sjednocením metodiky a rozhodování se </w:t>
      </w:r>
      <w:r w:rsidR="007D2E88" w:rsidRPr="007D2E88">
        <w:rPr>
          <w:rFonts w:ascii="Arial" w:hAnsi="Arial" w:cs="Arial"/>
          <w:b/>
          <w:sz w:val="24"/>
        </w:rPr>
        <w:t xml:space="preserve">zásadním způsobem snížil korupční potenciál, na který si </w:t>
      </w:r>
      <w:r w:rsidR="00E452CF">
        <w:rPr>
          <w:rFonts w:ascii="Arial" w:hAnsi="Arial" w:cs="Arial"/>
          <w:b/>
          <w:sz w:val="24"/>
        </w:rPr>
        <w:t>lidé</w:t>
      </w:r>
      <w:r w:rsidR="007D2E88" w:rsidRPr="007D2E88">
        <w:rPr>
          <w:rFonts w:ascii="Arial" w:hAnsi="Arial" w:cs="Arial"/>
          <w:b/>
          <w:sz w:val="24"/>
        </w:rPr>
        <w:t xml:space="preserve"> často stěžují</w:t>
      </w:r>
      <w:r>
        <w:rPr>
          <w:rFonts w:ascii="Arial" w:hAnsi="Arial" w:cs="Arial"/>
          <w:b/>
          <w:sz w:val="24"/>
        </w:rPr>
        <w:t>, se zdá být naprosto promarněna</w:t>
      </w:r>
      <w:r w:rsidR="007D2E88" w:rsidRPr="007D2E88">
        <w:rPr>
          <w:rFonts w:ascii="Arial" w:hAnsi="Arial" w:cs="Arial"/>
          <w:sz w:val="24"/>
        </w:rPr>
        <w:t>.</w:t>
      </w:r>
      <w:r w:rsidR="001D5DF0">
        <w:rPr>
          <w:rFonts w:ascii="Arial" w:hAnsi="Arial" w:cs="Arial"/>
          <w:sz w:val="24"/>
        </w:rPr>
        <w:t xml:space="preserve"> P</w:t>
      </w:r>
      <w:r w:rsidR="001D5DF0" w:rsidRPr="007D2E88">
        <w:rPr>
          <w:rFonts w:ascii="Arial" w:hAnsi="Arial" w:cs="Arial"/>
          <w:sz w:val="24"/>
        </w:rPr>
        <w:t>odle nového zákona</w:t>
      </w:r>
      <w:r w:rsidR="000942AD">
        <w:rPr>
          <w:rFonts w:ascii="Arial" w:hAnsi="Arial" w:cs="Arial"/>
          <w:sz w:val="24"/>
        </w:rPr>
        <w:t xml:space="preserve"> a s rozplynutím základního principu 1 úřad – 1 razítko – 1 rozhodnutí</w:t>
      </w:r>
      <w:r w:rsidR="001D5DF0" w:rsidRPr="007D2E88">
        <w:rPr>
          <w:rFonts w:ascii="Arial" w:hAnsi="Arial" w:cs="Arial"/>
          <w:sz w:val="24"/>
        </w:rPr>
        <w:t xml:space="preserve"> </w:t>
      </w:r>
      <w:r w:rsidR="001D5DF0">
        <w:rPr>
          <w:rFonts w:ascii="Arial" w:hAnsi="Arial" w:cs="Arial"/>
          <w:sz w:val="24"/>
        </w:rPr>
        <w:t>zůstane</w:t>
      </w:r>
      <w:r w:rsidR="001D5DF0" w:rsidRPr="007D2E88">
        <w:rPr>
          <w:rFonts w:ascii="Arial" w:hAnsi="Arial" w:cs="Arial"/>
          <w:sz w:val="24"/>
        </w:rPr>
        <w:t xml:space="preserve"> </w:t>
      </w:r>
      <w:r w:rsidR="001D5DF0">
        <w:rPr>
          <w:rFonts w:ascii="Arial" w:hAnsi="Arial" w:cs="Arial"/>
          <w:sz w:val="24"/>
        </w:rPr>
        <w:t xml:space="preserve">zachován </w:t>
      </w:r>
      <w:r w:rsidR="001D5DF0" w:rsidRPr="007D2E88">
        <w:rPr>
          <w:rFonts w:ascii="Arial" w:hAnsi="Arial" w:cs="Arial"/>
          <w:sz w:val="24"/>
        </w:rPr>
        <w:t xml:space="preserve">problém systémové podjatosti, tedy </w:t>
      </w:r>
      <w:r w:rsidR="001D5DF0" w:rsidRPr="007D2E88">
        <w:rPr>
          <w:rFonts w:ascii="Arial" w:hAnsi="Arial" w:cs="Arial"/>
          <w:b/>
          <w:sz w:val="24"/>
        </w:rPr>
        <w:t>možnost politického ovlivňování stavebních úřadů zástupci samospráv</w:t>
      </w:r>
      <w:r w:rsidR="001D5DF0" w:rsidRPr="007D2E88">
        <w:rPr>
          <w:rFonts w:ascii="Arial" w:hAnsi="Arial" w:cs="Arial"/>
          <w:sz w:val="24"/>
        </w:rPr>
        <w:t xml:space="preserve">. </w:t>
      </w:r>
    </w:p>
    <w:p w14:paraId="3FFAEBFB" w14:textId="3CAA99B2" w:rsidR="00E864C0" w:rsidRDefault="00E864C0" w:rsidP="001D5DF0">
      <w:pPr>
        <w:jc w:val="both"/>
      </w:pPr>
      <w:r>
        <w:rPr>
          <w:rFonts w:ascii="Arial" w:hAnsi="Arial" w:cs="Arial"/>
          <w:i/>
          <w:sz w:val="24"/>
        </w:rPr>
        <w:t>„</w:t>
      </w:r>
      <w:r w:rsidR="009B6171" w:rsidRPr="00295CE1">
        <w:rPr>
          <w:rFonts w:ascii="Arial" w:hAnsi="Arial" w:cs="Arial"/>
          <w:i/>
          <w:sz w:val="24"/>
        </w:rPr>
        <w:t>Návrh předložený L</w:t>
      </w:r>
      <w:r>
        <w:rPr>
          <w:rFonts w:ascii="Arial" w:hAnsi="Arial" w:cs="Arial"/>
          <w:i/>
          <w:sz w:val="24"/>
        </w:rPr>
        <w:t>egislativní radě vlády</w:t>
      </w:r>
      <w:r w:rsidR="009B6171" w:rsidRPr="00295CE1">
        <w:rPr>
          <w:rFonts w:ascii="Arial" w:hAnsi="Arial" w:cs="Arial"/>
          <w:i/>
          <w:sz w:val="24"/>
        </w:rPr>
        <w:t xml:space="preserve"> se v mnoha důležitých bodech odchyluje od principů a cílů vládou schváleného věcného záměru nového stavebního zákona. Stejně tak se </w:t>
      </w:r>
      <w:r w:rsidR="009B6171" w:rsidRPr="00813C27">
        <w:rPr>
          <w:rFonts w:ascii="Arial" w:hAnsi="Arial" w:cs="Arial"/>
          <w:b/>
          <w:i/>
          <w:sz w:val="24"/>
        </w:rPr>
        <w:t>zásadně liší od návrhu předloženého do mezirezortního př</w:t>
      </w:r>
      <w:r w:rsidR="001001A9" w:rsidRPr="00813C27">
        <w:rPr>
          <w:rFonts w:ascii="Arial" w:hAnsi="Arial" w:cs="Arial"/>
          <w:b/>
          <w:i/>
          <w:sz w:val="24"/>
        </w:rPr>
        <w:t>i</w:t>
      </w:r>
      <w:r w:rsidR="009B6171" w:rsidRPr="00813C27">
        <w:rPr>
          <w:rFonts w:ascii="Arial" w:hAnsi="Arial" w:cs="Arial"/>
          <w:b/>
          <w:i/>
          <w:sz w:val="24"/>
        </w:rPr>
        <w:t>pomínkového řízení</w:t>
      </w:r>
      <w:r w:rsidR="009B6171" w:rsidRPr="00295CE1">
        <w:rPr>
          <w:rFonts w:ascii="Arial" w:hAnsi="Arial" w:cs="Arial"/>
          <w:i/>
          <w:sz w:val="24"/>
        </w:rPr>
        <w:t xml:space="preserve">, který naopak z věcného záměru důsledně vycházel. Takovýto postup předkladatele </w:t>
      </w:r>
      <w:r w:rsidR="009B6171" w:rsidRPr="00813C27">
        <w:rPr>
          <w:rFonts w:ascii="Arial" w:hAnsi="Arial" w:cs="Arial"/>
          <w:b/>
          <w:i/>
          <w:sz w:val="24"/>
        </w:rPr>
        <w:t>není v souladu s Legislativními pravidly vlády</w:t>
      </w:r>
      <w:r w:rsidR="00813C27">
        <w:rPr>
          <w:rFonts w:ascii="Arial" w:hAnsi="Arial" w:cs="Arial"/>
          <w:i/>
          <w:sz w:val="24"/>
        </w:rPr>
        <w:t xml:space="preserve">,“ </w:t>
      </w:r>
      <w:r w:rsidR="00813C27">
        <w:rPr>
          <w:rFonts w:ascii="Arial" w:hAnsi="Arial" w:cs="Arial"/>
          <w:sz w:val="24"/>
        </w:rPr>
        <w:t>potvrzuje</w:t>
      </w:r>
      <w:r w:rsidR="009B6171" w:rsidRPr="00295CE1">
        <w:rPr>
          <w:rFonts w:ascii="Arial" w:hAnsi="Arial" w:cs="Arial"/>
          <w:sz w:val="24"/>
        </w:rPr>
        <w:t xml:space="preserve"> advokát Pavel Černý z kanceláře Frank </w:t>
      </w:r>
      <w:proofErr w:type="spellStart"/>
      <w:r w:rsidR="009B6171" w:rsidRPr="00295CE1">
        <w:rPr>
          <w:rFonts w:ascii="Arial" w:hAnsi="Arial" w:cs="Arial"/>
          <w:sz w:val="24"/>
        </w:rPr>
        <w:t>Bold</w:t>
      </w:r>
      <w:proofErr w:type="spellEnd"/>
      <w:r w:rsidR="009B6171" w:rsidRPr="00295CE1">
        <w:rPr>
          <w:rFonts w:ascii="Arial" w:hAnsi="Arial" w:cs="Arial"/>
          <w:sz w:val="24"/>
        </w:rPr>
        <w:t xml:space="preserve"> Advokáti, která se podílela na zpracování původního návrhu.</w:t>
      </w:r>
      <w:r w:rsidR="009B6171">
        <w:t> </w:t>
      </w:r>
    </w:p>
    <w:p w14:paraId="3A4BE6CC" w14:textId="6E6ADBFA" w:rsidR="009B6171" w:rsidRPr="007D2E88" w:rsidRDefault="00E864C0" w:rsidP="001D5DF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lastRenderedPageBreak/>
        <w:t>„</w:t>
      </w:r>
      <w:r w:rsidR="009B6171" w:rsidRPr="00295CE1">
        <w:rPr>
          <w:rFonts w:ascii="Arial" w:hAnsi="Arial" w:cs="Arial"/>
          <w:i/>
          <w:sz w:val="24"/>
        </w:rPr>
        <w:t xml:space="preserve">Kromě nevytvoření jednotné soustavy státních stavebních úřadů je v aktuálním návrhu </w:t>
      </w:r>
      <w:r w:rsidR="009B6171" w:rsidRPr="00813C27">
        <w:rPr>
          <w:rFonts w:ascii="Arial" w:hAnsi="Arial" w:cs="Arial"/>
          <w:b/>
          <w:i/>
          <w:sz w:val="24"/>
        </w:rPr>
        <w:t>výrazně oslaben princip integrace rozhodování u stavebního úřadu</w:t>
      </w:r>
      <w:r w:rsidR="009B6171" w:rsidRPr="00295CE1">
        <w:rPr>
          <w:rFonts w:ascii="Arial" w:hAnsi="Arial" w:cs="Arial"/>
          <w:i/>
          <w:sz w:val="24"/>
        </w:rPr>
        <w:t xml:space="preserve">. Podkladem pro rozhodnutí "obecního" stavebního úřadu má být "koordinované vyjádření" nadřízeného úřadu, řešící soulad stavby s požadavky dílčích zákonů. </w:t>
      </w:r>
      <w:r w:rsidR="009B6171" w:rsidRPr="00813C27">
        <w:rPr>
          <w:rFonts w:ascii="Arial" w:hAnsi="Arial" w:cs="Arial"/>
          <w:b/>
          <w:i/>
          <w:sz w:val="24"/>
        </w:rPr>
        <w:t>Není přitom jasné, zda toto vyjádření bude pro stavební úřad závazné</w:t>
      </w:r>
      <w:r w:rsidR="00813C27" w:rsidRPr="00813C27">
        <w:rPr>
          <w:rFonts w:ascii="Arial" w:hAnsi="Arial" w:cs="Arial"/>
          <w:b/>
          <w:i/>
          <w:sz w:val="24"/>
        </w:rPr>
        <w:t>,</w:t>
      </w:r>
      <w:r w:rsidR="009B6171" w:rsidRPr="00813C27">
        <w:rPr>
          <w:rFonts w:ascii="Arial" w:hAnsi="Arial" w:cs="Arial"/>
          <w:b/>
          <w:i/>
          <w:sz w:val="24"/>
        </w:rPr>
        <w:t xml:space="preserve"> nebo ne. </w:t>
      </w:r>
      <w:r w:rsidR="009B6171" w:rsidRPr="00295CE1">
        <w:rPr>
          <w:rFonts w:ascii="Arial" w:hAnsi="Arial" w:cs="Arial"/>
          <w:i/>
          <w:sz w:val="24"/>
        </w:rPr>
        <w:t xml:space="preserve">V každém případě budou vznikat komplikované situace a spory, čemuž měl zákon </w:t>
      </w:r>
      <w:r w:rsidR="00524417">
        <w:rPr>
          <w:rFonts w:ascii="Arial" w:hAnsi="Arial" w:cs="Arial"/>
          <w:i/>
          <w:sz w:val="24"/>
        </w:rPr>
        <w:t>podle původního zadání zabránit</w:t>
      </w:r>
      <w:r w:rsidR="00813C27">
        <w:t>,“</w:t>
      </w:r>
      <w:r w:rsidR="009B6171" w:rsidRPr="00295CE1">
        <w:rPr>
          <w:rFonts w:ascii="Arial" w:hAnsi="Arial" w:cs="Arial"/>
          <w:sz w:val="24"/>
        </w:rPr>
        <w:t xml:space="preserve"> dodává Černý.</w:t>
      </w:r>
    </w:p>
    <w:p w14:paraId="2FB81613" w14:textId="77A1E7BC" w:rsidR="007D2E88" w:rsidRDefault="007D2E88" w:rsidP="007D2E88">
      <w:pPr>
        <w:jc w:val="both"/>
        <w:rPr>
          <w:rFonts w:ascii="Arial" w:hAnsi="Arial" w:cs="Arial"/>
          <w:sz w:val="24"/>
        </w:rPr>
      </w:pPr>
      <w:r w:rsidRPr="007D2E88">
        <w:rPr>
          <w:rFonts w:ascii="Arial" w:hAnsi="Arial" w:cs="Arial"/>
          <w:b/>
          <w:sz w:val="24"/>
        </w:rPr>
        <w:t xml:space="preserve">Zákon zbytněl na dvojnásobek oproti verzi z loňského listopadu a má dokonce </w:t>
      </w:r>
      <w:r w:rsidR="009537E7">
        <w:rPr>
          <w:rFonts w:ascii="Arial" w:hAnsi="Arial" w:cs="Arial"/>
          <w:b/>
          <w:sz w:val="24"/>
        </w:rPr>
        <w:t>přes</w:t>
      </w:r>
      <w:r w:rsidRPr="007D2E88">
        <w:rPr>
          <w:rFonts w:ascii="Arial" w:hAnsi="Arial" w:cs="Arial"/>
          <w:b/>
          <w:sz w:val="24"/>
        </w:rPr>
        <w:t xml:space="preserve"> 100 paragrafů </w:t>
      </w:r>
      <w:r w:rsidR="001C02A8">
        <w:rPr>
          <w:rFonts w:ascii="Arial" w:hAnsi="Arial" w:cs="Arial"/>
          <w:b/>
          <w:sz w:val="24"/>
        </w:rPr>
        <w:t>navíc</w:t>
      </w:r>
      <w:r w:rsidR="001C02A8" w:rsidRPr="007D2E88">
        <w:rPr>
          <w:rFonts w:ascii="Arial" w:hAnsi="Arial" w:cs="Arial"/>
          <w:b/>
          <w:sz w:val="24"/>
        </w:rPr>
        <w:t xml:space="preserve"> </w:t>
      </w:r>
      <w:r w:rsidRPr="007D2E88">
        <w:rPr>
          <w:rFonts w:ascii="Arial" w:hAnsi="Arial" w:cs="Arial"/>
          <w:b/>
          <w:sz w:val="24"/>
        </w:rPr>
        <w:t>než v současnosti platný zákon.</w:t>
      </w:r>
      <w:r w:rsidRPr="007D2E88">
        <w:rPr>
          <w:rFonts w:ascii="Arial" w:hAnsi="Arial" w:cs="Arial"/>
          <w:sz w:val="24"/>
        </w:rPr>
        <w:t xml:space="preserve"> </w:t>
      </w:r>
      <w:r w:rsidRPr="007D2E88">
        <w:rPr>
          <w:rFonts w:ascii="Arial" w:hAnsi="Arial" w:cs="Arial"/>
          <w:i/>
          <w:sz w:val="24"/>
        </w:rPr>
        <w:t xml:space="preserve">„Přibyla nová pravidla a regulace, které nebyly s nikým odborně a v praxi konzultované. </w:t>
      </w:r>
      <w:r w:rsidR="00873935">
        <w:rPr>
          <w:rFonts w:ascii="Arial" w:hAnsi="Arial" w:cs="Arial"/>
          <w:i/>
          <w:sz w:val="24"/>
        </w:rPr>
        <w:t xml:space="preserve">Naopak </w:t>
      </w:r>
      <w:r w:rsidR="00DB0037">
        <w:rPr>
          <w:rFonts w:ascii="Arial" w:hAnsi="Arial" w:cs="Arial"/>
          <w:i/>
          <w:sz w:val="24"/>
        </w:rPr>
        <w:t xml:space="preserve">samotné </w:t>
      </w:r>
      <w:r w:rsidR="00873935">
        <w:rPr>
          <w:rFonts w:ascii="Arial" w:hAnsi="Arial" w:cs="Arial"/>
          <w:i/>
          <w:sz w:val="24"/>
        </w:rPr>
        <w:t>stanovení a vymahatelnost lhůt je tristní</w:t>
      </w:r>
      <w:r w:rsidR="00F310E1">
        <w:rPr>
          <w:rFonts w:ascii="Arial" w:hAnsi="Arial" w:cs="Arial"/>
          <w:i/>
          <w:sz w:val="24"/>
        </w:rPr>
        <w:t>. Stavebník tím pádem nemůže očekávat</w:t>
      </w:r>
      <w:r w:rsidR="00873935">
        <w:rPr>
          <w:rFonts w:ascii="Arial" w:hAnsi="Arial" w:cs="Arial"/>
          <w:i/>
          <w:sz w:val="24"/>
        </w:rPr>
        <w:t xml:space="preserve"> </w:t>
      </w:r>
      <w:r w:rsidRPr="007D2E88">
        <w:rPr>
          <w:rFonts w:ascii="Arial" w:hAnsi="Arial" w:cs="Arial"/>
          <w:i/>
          <w:sz w:val="24"/>
        </w:rPr>
        <w:t xml:space="preserve">zrychlení řízení ani posílení právní jistoty a zlepšení </w:t>
      </w:r>
      <w:r w:rsidR="00F310E1">
        <w:rPr>
          <w:rFonts w:ascii="Arial" w:hAnsi="Arial" w:cs="Arial"/>
          <w:i/>
          <w:sz w:val="24"/>
        </w:rPr>
        <w:t xml:space="preserve">jeho </w:t>
      </w:r>
      <w:r w:rsidRPr="007D2E88">
        <w:rPr>
          <w:rFonts w:ascii="Arial" w:hAnsi="Arial" w:cs="Arial"/>
          <w:i/>
          <w:sz w:val="24"/>
        </w:rPr>
        <w:t>postavení v řízení,“</w:t>
      </w:r>
      <w:r w:rsidRPr="007D2E88">
        <w:rPr>
          <w:rFonts w:ascii="Arial" w:hAnsi="Arial" w:cs="Arial"/>
          <w:sz w:val="24"/>
        </w:rPr>
        <w:t xml:space="preserve"> varuje Dlouhý. </w:t>
      </w:r>
      <w:r w:rsidRPr="00524417">
        <w:rPr>
          <w:rFonts w:ascii="Arial" w:hAnsi="Arial" w:cs="Arial"/>
          <w:b/>
          <w:sz w:val="24"/>
        </w:rPr>
        <w:t xml:space="preserve">Zákon přitom vznikl </w:t>
      </w:r>
      <w:r w:rsidR="00873935" w:rsidRPr="00524417">
        <w:rPr>
          <w:rFonts w:ascii="Arial" w:hAnsi="Arial" w:cs="Arial"/>
          <w:b/>
          <w:sz w:val="24"/>
        </w:rPr>
        <w:t xml:space="preserve">právě </w:t>
      </w:r>
      <w:r w:rsidRPr="00524417">
        <w:rPr>
          <w:rFonts w:ascii="Arial" w:hAnsi="Arial" w:cs="Arial"/>
          <w:b/>
          <w:sz w:val="24"/>
        </w:rPr>
        <w:t>proto, aby zrychlil povolání staveb</w:t>
      </w:r>
      <w:r>
        <w:rPr>
          <w:rFonts w:ascii="Arial" w:hAnsi="Arial" w:cs="Arial"/>
          <w:sz w:val="24"/>
        </w:rPr>
        <w:t xml:space="preserve">. </w:t>
      </w:r>
    </w:p>
    <w:p w14:paraId="1C54EF1E" w14:textId="09D8BF44" w:rsidR="000942AD" w:rsidRDefault="00813C27" w:rsidP="00D83F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MMR ze zákona</w:t>
      </w:r>
      <w:r w:rsidR="00065A2E">
        <w:rPr>
          <w:rFonts w:ascii="Arial" w:hAnsi="Arial" w:cs="Arial"/>
          <w:sz w:val="24"/>
        </w:rPr>
        <w:t xml:space="preserve"> rovněž </w:t>
      </w:r>
      <w:r>
        <w:rPr>
          <w:rFonts w:ascii="Arial" w:hAnsi="Arial" w:cs="Arial"/>
          <w:sz w:val="24"/>
        </w:rPr>
        <w:t>vypustilo</w:t>
      </w:r>
      <w:r w:rsidR="00065A2E">
        <w:rPr>
          <w:rFonts w:ascii="Arial" w:hAnsi="Arial" w:cs="Arial"/>
          <w:sz w:val="24"/>
        </w:rPr>
        <w:t xml:space="preserve"> </w:t>
      </w:r>
      <w:r w:rsidR="009537E7">
        <w:rPr>
          <w:rFonts w:ascii="Arial" w:hAnsi="Arial" w:cs="Arial"/>
          <w:sz w:val="24"/>
        </w:rPr>
        <w:t xml:space="preserve">klíčové pravidlo, že </w:t>
      </w:r>
      <w:r w:rsidR="009537E7" w:rsidRPr="00813C27">
        <w:rPr>
          <w:rFonts w:ascii="Arial" w:hAnsi="Arial" w:cs="Arial"/>
          <w:b/>
          <w:sz w:val="24"/>
        </w:rPr>
        <w:t>územní plán stanoví veřejný zájem na využití území, který se pak již znovu nepřezkoumává v povolovacích procesech.</w:t>
      </w:r>
      <w:r w:rsidR="009537E7">
        <w:rPr>
          <w:rFonts w:ascii="Arial" w:hAnsi="Arial" w:cs="Arial"/>
          <w:sz w:val="24"/>
        </w:rPr>
        <w:t xml:space="preserve"> </w:t>
      </w:r>
      <w:r w:rsidR="001F365C" w:rsidRPr="00524417">
        <w:rPr>
          <w:rFonts w:ascii="Arial" w:hAnsi="Arial" w:cs="Arial"/>
          <w:b/>
          <w:sz w:val="24"/>
        </w:rPr>
        <w:t>To může způsobit prodloužení řízení o povolení staveb a jejich soudního přezkumu.</w:t>
      </w:r>
      <w:r w:rsidR="001F365C">
        <w:rPr>
          <w:rFonts w:ascii="Arial" w:hAnsi="Arial" w:cs="Arial"/>
          <w:sz w:val="24"/>
        </w:rPr>
        <w:t xml:space="preserve"> </w:t>
      </w:r>
      <w:r w:rsidR="00D83F04">
        <w:rPr>
          <w:rFonts w:ascii="Arial" w:hAnsi="Arial" w:cs="Arial"/>
          <w:sz w:val="24"/>
        </w:rPr>
        <w:t xml:space="preserve">Jako další nepovedený příklad lze uvést </w:t>
      </w:r>
      <w:r w:rsidR="000942AD">
        <w:rPr>
          <w:rFonts w:ascii="Arial" w:hAnsi="Arial" w:cs="Arial"/>
          <w:sz w:val="24"/>
        </w:rPr>
        <w:t>novel</w:t>
      </w:r>
      <w:r w:rsidR="00D83F04">
        <w:rPr>
          <w:rFonts w:ascii="Arial" w:hAnsi="Arial" w:cs="Arial"/>
          <w:sz w:val="24"/>
        </w:rPr>
        <w:t>u</w:t>
      </w:r>
      <w:r w:rsidR="000942AD">
        <w:rPr>
          <w:rFonts w:ascii="Arial" w:hAnsi="Arial" w:cs="Arial"/>
          <w:sz w:val="24"/>
        </w:rPr>
        <w:t xml:space="preserve"> vodního zákona</w:t>
      </w:r>
      <w:r w:rsidR="00D83F04">
        <w:rPr>
          <w:rFonts w:ascii="Arial" w:hAnsi="Arial" w:cs="Arial"/>
          <w:sz w:val="24"/>
        </w:rPr>
        <w:t>.</w:t>
      </w:r>
      <w:r w:rsidR="000942AD">
        <w:rPr>
          <w:rFonts w:ascii="Arial" w:hAnsi="Arial" w:cs="Arial"/>
          <w:sz w:val="24"/>
        </w:rPr>
        <w:t xml:space="preserve"> </w:t>
      </w:r>
      <w:r w:rsidR="00D83F04" w:rsidRPr="00524417">
        <w:rPr>
          <w:rFonts w:ascii="Arial" w:hAnsi="Arial" w:cs="Arial"/>
          <w:b/>
          <w:sz w:val="24"/>
        </w:rPr>
        <w:t xml:space="preserve">Nově </w:t>
      </w:r>
      <w:r w:rsidR="000942AD" w:rsidRPr="00524417">
        <w:rPr>
          <w:rFonts w:ascii="Arial" w:hAnsi="Arial" w:cs="Arial"/>
          <w:b/>
          <w:sz w:val="24"/>
        </w:rPr>
        <w:t>bude třeba nejméně dvou rozhodnutí i při drobné stavební úpravě rodinného domu.</w:t>
      </w:r>
    </w:p>
    <w:p w14:paraId="64E60A0A" w14:textId="2B479ABF" w:rsidR="00D83F04" w:rsidRDefault="00813C27" w:rsidP="00D83F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Rozbor Hospodářské komory mimo jiné také potvrdil, proč v</w:t>
      </w:r>
      <w:r w:rsidR="00D83F04" w:rsidRPr="00524417">
        <w:rPr>
          <w:rFonts w:ascii="Arial" w:hAnsi="Arial" w:cs="Arial"/>
          <w:b/>
          <w:sz w:val="24"/>
        </w:rPr>
        <w:t xml:space="preserve">šeobecný nesouhlas </w:t>
      </w:r>
      <w:r>
        <w:rPr>
          <w:rFonts w:ascii="Arial" w:hAnsi="Arial" w:cs="Arial"/>
          <w:b/>
          <w:sz w:val="24"/>
        </w:rPr>
        <w:t xml:space="preserve">různých organizací </w:t>
      </w:r>
      <w:r w:rsidR="00D83F04" w:rsidRPr="00524417">
        <w:rPr>
          <w:rFonts w:ascii="Arial" w:hAnsi="Arial" w:cs="Arial"/>
          <w:b/>
          <w:sz w:val="24"/>
        </w:rPr>
        <w:t xml:space="preserve">sklidila také </w:t>
      </w:r>
      <w:r w:rsidR="00866C9B" w:rsidRPr="00524417">
        <w:rPr>
          <w:rFonts w:ascii="Arial" w:hAnsi="Arial" w:cs="Arial"/>
          <w:b/>
          <w:sz w:val="24"/>
        </w:rPr>
        <w:t>úprava</w:t>
      </w:r>
      <w:r w:rsidR="00D83F04" w:rsidRPr="00524417">
        <w:rPr>
          <w:rFonts w:ascii="Arial" w:hAnsi="Arial" w:cs="Arial"/>
          <w:b/>
          <w:sz w:val="24"/>
        </w:rPr>
        <w:t xml:space="preserve"> oblasti územního plánování.</w:t>
      </w:r>
      <w:r w:rsidR="00D83F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 zákoně totiž</w:t>
      </w:r>
      <w:r w:rsidR="00866C9B">
        <w:rPr>
          <w:rFonts w:ascii="Arial" w:hAnsi="Arial" w:cs="Arial"/>
          <w:sz w:val="24"/>
        </w:rPr>
        <w:t xml:space="preserve"> z</w:t>
      </w:r>
      <w:r w:rsidR="00D83F04">
        <w:rPr>
          <w:rFonts w:ascii="Arial" w:hAnsi="Arial" w:cs="Arial"/>
          <w:sz w:val="24"/>
        </w:rPr>
        <w:t xml:space="preserve">cela chybí původní klíčový požadavek na stanovení veřejného zájmu, proces územního plánování </w:t>
      </w:r>
      <w:r w:rsidR="00D83F04" w:rsidRPr="00813C27">
        <w:rPr>
          <w:rFonts w:ascii="Arial" w:hAnsi="Arial" w:cs="Arial"/>
          <w:b/>
          <w:sz w:val="24"/>
        </w:rPr>
        <w:t>zůstává zachován v současné přežité podobě</w:t>
      </w:r>
      <w:r w:rsidR="00D83F04">
        <w:rPr>
          <w:rFonts w:ascii="Arial" w:hAnsi="Arial" w:cs="Arial"/>
          <w:sz w:val="24"/>
        </w:rPr>
        <w:t xml:space="preserve">, nedochází k žádnému zrychlení. A to přesto, že jen tato kapitola narostla o desítky nových </w:t>
      </w:r>
      <w:r w:rsidR="00866C9B">
        <w:rPr>
          <w:rFonts w:ascii="Arial" w:hAnsi="Arial" w:cs="Arial"/>
          <w:sz w:val="24"/>
        </w:rPr>
        <w:t>„</w:t>
      </w:r>
      <w:r w:rsidR="00D83F04">
        <w:rPr>
          <w:rFonts w:ascii="Arial" w:hAnsi="Arial" w:cs="Arial"/>
          <w:sz w:val="24"/>
        </w:rPr>
        <w:t>prázdných</w:t>
      </w:r>
      <w:r w:rsidR="00866C9B">
        <w:rPr>
          <w:rFonts w:ascii="Arial" w:hAnsi="Arial" w:cs="Arial"/>
          <w:sz w:val="24"/>
        </w:rPr>
        <w:t>“</w:t>
      </w:r>
      <w:r w:rsidR="00D83F04">
        <w:rPr>
          <w:rFonts w:ascii="Arial" w:hAnsi="Arial" w:cs="Arial"/>
          <w:sz w:val="24"/>
        </w:rPr>
        <w:t xml:space="preserve"> paragrafů oproti současnému stavu. </w:t>
      </w:r>
    </w:p>
    <w:p w14:paraId="7F1F9C00" w14:textId="75084994" w:rsidR="00295CE1" w:rsidRPr="00295CE1" w:rsidRDefault="00BC7EA8" w:rsidP="00295CE1">
      <w:pPr>
        <w:jc w:val="both"/>
        <w:rPr>
          <w:rFonts w:ascii="Arial" w:hAnsi="Arial" w:cs="Arial"/>
          <w:sz w:val="24"/>
          <w:lang w:val="en-US"/>
        </w:rPr>
      </w:pPr>
      <w:r w:rsidRPr="00813C27">
        <w:rPr>
          <w:rFonts w:ascii="Arial" w:hAnsi="Arial" w:cs="Arial"/>
          <w:b/>
          <w:sz w:val="24"/>
        </w:rPr>
        <w:t>Klíčovým tématem rekodifikace stavebního práva měly být efektivní lhůty. Ani ty ovšem v poslední verzi zákona stavebník nenachází.</w:t>
      </w:r>
      <w:r>
        <w:rPr>
          <w:rFonts w:ascii="Arial" w:hAnsi="Arial" w:cs="Arial"/>
          <w:sz w:val="24"/>
        </w:rPr>
        <w:t xml:space="preserve"> Úkony úřadu budou podléhat buďto pouze správním (nikoliv vymahatelným) lhůtám anebo dokonce lhůty stanoveny vůbec nejsou. </w:t>
      </w:r>
      <w:r w:rsidRPr="00DB0037">
        <w:rPr>
          <w:rFonts w:ascii="Arial" w:hAnsi="Arial" w:cs="Arial"/>
          <w:b/>
          <w:bCs/>
          <w:sz w:val="24"/>
        </w:rPr>
        <w:t xml:space="preserve">Lidé se efektivní ochrany před nečinností úředníků nedočkají. Naopak reálně hrozí zahlcení krajské stavební správy a prodloužení </w:t>
      </w:r>
      <w:r w:rsidR="00BB3F84" w:rsidRPr="00DB0037">
        <w:rPr>
          <w:rFonts w:ascii="Arial" w:hAnsi="Arial" w:cs="Arial"/>
          <w:b/>
          <w:bCs/>
          <w:sz w:val="24"/>
        </w:rPr>
        <w:t>řízení</w:t>
      </w:r>
      <w:r w:rsidR="00BB3F84">
        <w:rPr>
          <w:rFonts w:ascii="Arial" w:hAnsi="Arial" w:cs="Arial"/>
          <w:sz w:val="24"/>
        </w:rPr>
        <w:t>.</w:t>
      </w:r>
    </w:p>
    <w:p w14:paraId="6A821099" w14:textId="6FA84C10" w:rsidR="00401513" w:rsidRDefault="00401513" w:rsidP="007D2E88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813C27" w:rsidP="00E15DA9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4DF7D3E2" w:rsidR="00401513" w:rsidRPr="00C77B7A" w:rsidRDefault="00401513" w:rsidP="00C77B7A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C77B7A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6CD1" w14:textId="77777777" w:rsidR="00F37BA7" w:rsidRDefault="00F37BA7" w:rsidP="00FA7787">
      <w:pPr>
        <w:spacing w:after="0" w:line="240" w:lineRule="auto"/>
      </w:pPr>
      <w:r>
        <w:separator/>
      </w:r>
    </w:p>
  </w:endnote>
  <w:endnote w:type="continuationSeparator" w:id="0">
    <w:p w14:paraId="3E514F34" w14:textId="77777777" w:rsidR="00F37BA7" w:rsidRDefault="00F37BA7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Zeppelin 32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7E72" w14:textId="77777777" w:rsidR="00F37BA7" w:rsidRDefault="00F37BA7" w:rsidP="00FA7787">
      <w:pPr>
        <w:spacing w:after="0" w:line="240" w:lineRule="auto"/>
      </w:pPr>
      <w:r>
        <w:separator/>
      </w:r>
    </w:p>
  </w:footnote>
  <w:footnote w:type="continuationSeparator" w:id="0">
    <w:p w14:paraId="3B6AD2C3" w14:textId="77777777" w:rsidR="00F37BA7" w:rsidRDefault="00F37BA7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163E"/>
    <w:rsid w:val="00006110"/>
    <w:rsid w:val="000064BD"/>
    <w:rsid w:val="0000736E"/>
    <w:rsid w:val="00015B69"/>
    <w:rsid w:val="00020FA3"/>
    <w:rsid w:val="00034143"/>
    <w:rsid w:val="0003543B"/>
    <w:rsid w:val="00040C8F"/>
    <w:rsid w:val="00043035"/>
    <w:rsid w:val="000465F6"/>
    <w:rsid w:val="00046A0B"/>
    <w:rsid w:val="00046A56"/>
    <w:rsid w:val="000579D5"/>
    <w:rsid w:val="00062219"/>
    <w:rsid w:val="0006380B"/>
    <w:rsid w:val="00063EB5"/>
    <w:rsid w:val="00065A2E"/>
    <w:rsid w:val="0007506D"/>
    <w:rsid w:val="00077F02"/>
    <w:rsid w:val="0008046F"/>
    <w:rsid w:val="00082E30"/>
    <w:rsid w:val="00083C34"/>
    <w:rsid w:val="00085D40"/>
    <w:rsid w:val="0008692B"/>
    <w:rsid w:val="0009409B"/>
    <w:rsid w:val="000942AD"/>
    <w:rsid w:val="00094D61"/>
    <w:rsid w:val="000A3A4A"/>
    <w:rsid w:val="000A4F80"/>
    <w:rsid w:val="000B1F15"/>
    <w:rsid w:val="000B302A"/>
    <w:rsid w:val="000B582E"/>
    <w:rsid w:val="000C1A66"/>
    <w:rsid w:val="000E427C"/>
    <w:rsid w:val="000F3735"/>
    <w:rsid w:val="000F4BBD"/>
    <w:rsid w:val="000F7BE3"/>
    <w:rsid w:val="001001A9"/>
    <w:rsid w:val="0010026F"/>
    <w:rsid w:val="0010474A"/>
    <w:rsid w:val="00107F5D"/>
    <w:rsid w:val="001237B9"/>
    <w:rsid w:val="00130961"/>
    <w:rsid w:val="00131460"/>
    <w:rsid w:val="00136E59"/>
    <w:rsid w:val="001412CA"/>
    <w:rsid w:val="00143E98"/>
    <w:rsid w:val="00157980"/>
    <w:rsid w:val="00161F5A"/>
    <w:rsid w:val="00163188"/>
    <w:rsid w:val="00173D99"/>
    <w:rsid w:val="00175540"/>
    <w:rsid w:val="00182590"/>
    <w:rsid w:val="001826CD"/>
    <w:rsid w:val="001842D7"/>
    <w:rsid w:val="00185C12"/>
    <w:rsid w:val="0019114D"/>
    <w:rsid w:val="0019613D"/>
    <w:rsid w:val="00197592"/>
    <w:rsid w:val="001A729F"/>
    <w:rsid w:val="001B7E45"/>
    <w:rsid w:val="001C01CB"/>
    <w:rsid w:val="001C02A8"/>
    <w:rsid w:val="001C321B"/>
    <w:rsid w:val="001D426D"/>
    <w:rsid w:val="001D5DF0"/>
    <w:rsid w:val="001D635F"/>
    <w:rsid w:val="001E4095"/>
    <w:rsid w:val="001F365C"/>
    <w:rsid w:val="002000E3"/>
    <w:rsid w:val="002170A2"/>
    <w:rsid w:val="002232D9"/>
    <w:rsid w:val="0023132C"/>
    <w:rsid w:val="00234EFB"/>
    <w:rsid w:val="00252D53"/>
    <w:rsid w:val="00255AC8"/>
    <w:rsid w:val="0026167D"/>
    <w:rsid w:val="0026706E"/>
    <w:rsid w:val="002733C4"/>
    <w:rsid w:val="002825F4"/>
    <w:rsid w:val="00282D00"/>
    <w:rsid w:val="00284311"/>
    <w:rsid w:val="00294519"/>
    <w:rsid w:val="00295CE1"/>
    <w:rsid w:val="002A56FD"/>
    <w:rsid w:val="002C4EDC"/>
    <w:rsid w:val="002C7880"/>
    <w:rsid w:val="002E338B"/>
    <w:rsid w:val="002E357A"/>
    <w:rsid w:val="002F15EB"/>
    <w:rsid w:val="002F40B1"/>
    <w:rsid w:val="002F4227"/>
    <w:rsid w:val="002F4B45"/>
    <w:rsid w:val="002F664A"/>
    <w:rsid w:val="0030315F"/>
    <w:rsid w:val="003055FF"/>
    <w:rsid w:val="00314E4B"/>
    <w:rsid w:val="0031690A"/>
    <w:rsid w:val="0033352B"/>
    <w:rsid w:val="00337154"/>
    <w:rsid w:val="00356AF9"/>
    <w:rsid w:val="003600E4"/>
    <w:rsid w:val="003723FE"/>
    <w:rsid w:val="00373866"/>
    <w:rsid w:val="0038359F"/>
    <w:rsid w:val="003838B4"/>
    <w:rsid w:val="00386963"/>
    <w:rsid w:val="0039144D"/>
    <w:rsid w:val="003A3C88"/>
    <w:rsid w:val="003A4C57"/>
    <w:rsid w:val="003A78B3"/>
    <w:rsid w:val="003B1BC9"/>
    <w:rsid w:val="003B3888"/>
    <w:rsid w:val="003B41F7"/>
    <w:rsid w:val="003B5F00"/>
    <w:rsid w:val="003B6107"/>
    <w:rsid w:val="003B61E2"/>
    <w:rsid w:val="003C2786"/>
    <w:rsid w:val="003D6016"/>
    <w:rsid w:val="003D71D1"/>
    <w:rsid w:val="003D7563"/>
    <w:rsid w:val="003E6952"/>
    <w:rsid w:val="003E73A8"/>
    <w:rsid w:val="003F01FF"/>
    <w:rsid w:val="003F78E6"/>
    <w:rsid w:val="004004DD"/>
    <w:rsid w:val="00401513"/>
    <w:rsid w:val="00406F89"/>
    <w:rsid w:val="0041168E"/>
    <w:rsid w:val="00412441"/>
    <w:rsid w:val="00413210"/>
    <w:rsid w:val="00413C9C"/>
    <w:rsid w:val="00416920"/>
    <w:rsid w:val="00417587"/>
    <w:rsid w:val="00423C35"/>
    <w:rsid w:val="0044234D"/>
    <w:rsid w:val="004425B7"/>
    <w:rsid w:val="0044414A"/>
    <w:rsid w:val="00450850"/>
    <w:rsid w:val="0045211D"/>
    <w:rsid w:val="004526BC"/>
    <w:rsid w:val="00456EF4"/>
    <w:rsid w:val="0046588E"/>
    <w:rsid w:val="00471BDE"/>
    <w:rsid w:val="00474284"/>
    <w:rsid w:val="00475FE3"/>
    <w:rsid w:val="0048610C"/>
    <w:rsid w:val="004863C2"/>
    <w:rsid w:val="00486CA2"/>
    <w:rsid w:val="004903EE"/>
    <w:rsid w:val="004905F8"/>
    <w:rsid w:val="004917C3"/>
    <w:rsid w:val="004A0F6F"/>
    <w:rsid w:val="004A2B1F"/>
    <w:rsid w:val="004B0A2A"/>
    <w:rsid w:val="004B3E44"/>
    <w:rsid w:val="004B7C9C"/>
    <w:rsid w:val="004C6FE6"/>
    <w:rsid w:val="004C70EA"/>
    <w:rsid w:val="004D580E"/>
    <w:rsid w:val="004E5B21"/>
    <w:rsid w:val="004E7B48"/>
    <w:rsid w:val="004F3509"/>
    <w:rsid w:val="004F3D22"/>
    <w:rsid w:val="004F4012"/>
    <w:rsid w:val="00504534"/>
    <w:rsid w:val="00510515"/>
    <w:rsid w:val="005135CE"/>
    <w:rsid w:val="0051489A"/>
    <w:rsid w:val="00523037"/>
    <w:rsid w:val="00524417"/>
    <w:rsid w:val="00527F50"/>
    <w:rsid w:val="0053099D"/>
    <w:rsid w:val="0053155C"/>
    <w:rsid w:val="00535E3D"/>
    <w:rsid w:val="005463A5"/>
    <w:rsid w:val="005556B4"/>
    <w:rsid w:val="005666FD"/>
    <w:rsid w:val="005746B3"/>
    <w:rsid w:val="005767DB"/>
    <w:rsid w:val="00577F62"/>
    <w:rsid w:val="00580218"/>
    <w:rsid w:val="00580511"/>
    <w:rsid w:val="00587940"/>
    <w:rsid w:val="00596240"/>
    <w:rsid w:val="00596BB4"/>
    <w:rsid w:val="005A30E6"/>
    <w:rsid w:val="005A5238"/>
    <w:rsid w:val="005A62A6"/>
    <w:rsid w:val="005A6898"/>
    <w:rsid w:val="005B0BFF"/>
    <w:rsid w:val="005B2F9C"/>
    <w:rsid w:val="005C0868"/>
    <w:rsid w:val="005D0ABA"/>
    <w:rsid w:val="005E2690"/>
    <w:rsid w:val="005E39D7"/>
    <w:rsid w:val="005E4217"/>
    <w:rsid w:val="005E4E79"/>
    <w:rsid w:val="005F2403"/>
    <w:rsid w:val="005F31D4"/>
    <w:rsid w:val="005F7659"/>
    <w:rsid w:val="006003AD"/>
    <w:rsid w:val="00611112"/>
    <w:rsid w:val="00612DF1"/>
    <w:rsid w:val="00613DF5"/>
    <w:rsid w:val="006142F2"/>
    <w:rsid w:val="00615219"/>
    <w:rsid w:val="00615E82"/>
    <w:rsid w:val="00621AD1"/>
    <w:rsid w:val="00640E9C"/>
    <w:rsid w:val="00644B52"/>
    <w:rsid w:val="00645BBE"/>
    <w:rsid w:val="00650194"/>
    <w:rsid w:val="00654070"/>
    <w:rsid w:val="00655A71"/>
    <w:rsid w:val="00661D63"/>
    <w:rsid w:val="00662978"/>
    <w:rsid w:val="00673A41"/>
    <w:rsid w:val="00673BD7"/>
    <w:rsid w:val="00674DBF"/>
    <w:rsid w:val="00675009"/>
    <w:rsid w:val="00676640"/>
    <w:rsid w:val="006857F8"/>
    <w:rsid w:val="0068596B"/>
    <w:rsid w:val="006A5C85"/>
    <w:rsid w:val="006A6841"/>
    <w:rsid w:val="006B06EB"/>
    <w:rsid w:val="006B1190"/>
    <w:rsid w:val="006B14EA"/>
    <w:rsid w:val="006C31F1"/>
    <w:rsid w:val="006C542B"/>
    <w:rsid w:val="006C72BA"/>
    <w:rsid w:val="006D1A33"/>
    <w:rsid w:val="006D220E"/>
    <w:rsid w:val="006D2671"/>
    <w:rsid w:val="006D57BD"/>
    <w:rsid w:val="006D7653"/>
    <w:rsid w:val="006D7BC5"/>
    <w:rsid w:val="006E0137"/>
    <w:rsid w:val="006E1E16"/>
    <w:rsid w:val="006E23B0"/>
    <w:rsid w:val="006E58DB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2577F"/>
    <w:rsid w:val="00726BF6"/>
    <w:rsid w:val="00727AAE"/>
    <w:rsid w:val="00733759"/>
    <w:rsid w:val="00734FB5"/>
    <w:rsid w:val="00735A58"/>
    <w:rsid w:val="00736A7C"/>
    <w:rsid w:val="00745BDE"/>
    <w:rsid w:val="007476E9"/>
    <w:rsid w:val="00747814"/>
    <w:rsid w:val="00750ACE"/>
    <w:rsid w:val="00752DF5"/>
    <w:rsid w:val="00757A68"/>
    <w:rsid w:val="00757FD9"/>
    <w:rsid w:val="007601E3"/>
    <w:rsid w:val="007604F3"/>
    <w:rsid w:val="00764C9C"/>
    <w:rsid w:val="0077324F"/>
    <w:rsid w:val="00773578"/>
    <w:rsid w:val="0077550D"/>
    <w:rsid w:val="007813E2"/>
    <w:rsid w:val="00782913"/>
    <w:rsid w:val="00782BCC"/>
    <w:rsid w:val="00783447"/>
    <w:rsid w:val="00783D8D"/>
    <w:rsid w:val="0078564D"/>
    <w:rsid w:val="00785AE1"/>
    <w:rsid w:val="0078740D"/>
    <w:rsid w:val="0079175B"/>
    <w:rsid w:val="00796B4D"/>
    <w:rsid w:val="007A67DC"/>
    <w:rsid w:val="007D0A48"/>
    <w:rsid w:val="007D14BD"/>
    <w:rsid w:val="007D2E88"/>
    <w:rsid w:val="007D468E"/>
    <w:rsid w:val="007D7635"/>
    <w:rsid w:val="007D7AEC"/>
    <w:rsid w:val="007E3ECB"/>
    <w:rsid w:val="007E3FF8"/>
    <w:rsid w:val="007E4338"/>
    <w:rsid w:val="007E50A6"/>
    <w:rsid w:val="007F0E1D"/>
    <w:rsid w:val="007F45C1"/>
    <w:rsid w:val="007F63B5"/>
    <w:rsid w:val="007F72E8"/>
    <w:rsid w:val="007F76BB"/>
    <w:rsid w:val="008001E8"/>
    <w:rsid w:val="00801CBB"/>
    <w:rsid w:val="00803FF9"/>
    <w:rsid w:val="00804CFF"/>
    <w:rsid w:val="00810C59"/>
    <w:rsid w:val="00813C27"/>
    <w:rsid w:val="008142B1"/>
    <w:rsid w:val="00823380"/>
    <w:rsid w:val="00825588"/>
    <w:rsid w:val="00825BFA"/>
    <w:rsid w:val="00830936"/>
    <w:rsid w:val="008526C9"/>
    <w:rsid w:val="00854BB6"/>
    <w:rsid w:val="008609E8"/>
    <w:rsid w:val="008625E2"/>
    <w:rsid w:val="00866C9B"/>
    <w:rsid w:val="0086766C"/>
    <w:rsid w:val="00873935"/>
    <w:rsid w:val="008841D4"/>
    <w:rsid w:val="00886CF6"/>
    <w:rsid w:val="00895A10"/>
    <w:rsid w:val="008A3536"/>
    <w:rsid w:val="008B0118"/>
    <w:rsid w:val="008B35E3"/>
    <w:rsid w:val="008C2639"/>
    <w:rsid w:val="008C3C03"/>
    <w:rsid w:val="008C54B0"/>
    <w:rsid w:val="008C5DC6"/>
    <w:rsid w:val="008C76F6"/>
    <w:rsid w:val="008D1398"/>
    <w:rsid w:val="008D3CE5"/>
    <w:rsid w:val="008D4BDD"/>
    <w:rsid w:val="008E5616"/>
    <w:rsid w:val="008E5AEB"/>
    <w:rsid w:val="008E5F4C"/>
    <w:rsid w:val="008E767C"/>
    <w:rsid w:val="008F4070"/>
    <w:rsid w:val="008F59D7"/>
    <w:rsid w:val="008F6BC1"/>
    <w:rsid w:val="00904C22"/>
    <w:rsid w:val="00905DAA"/>
    <w:rsid w:val="00905F4D"/>
    <w:rsid w:val="00910BAF"/>
    <w:rsid w:val="0091430A"/>
    <w:rsid w:val="0092062E"/>
    <w:rsid w:val="00924186"/>
    <w:rsid w:val="00932BDE"/>
    <w:rsid w:val="00937232"/>
    <w:rsid w:val="00937AF6"/>
    <w:rsid w:val="00937DB4"/>
    <w:rsid w:val="00940B1D"/>
    <w:rsid w:val="00940D88"/>
    <w:rsid w:val="00947F51"/>
    <w:rsid w:val="00951587"/>
    <w:rsid w:val="009537E7"/>
    <w:rsid w:val="00955211"/>
    <w:rsid w:val="0095614E"/>
    <w:rsid w:val="0096086D"/>
    <w:rsid w:val="0096474D"/>
    <w:rsid w:val="00965B6D"/>
    <w:rsid w:val="00966BDC"/>
    <w:rsid w:val="009703B4"/>
    <w:rsid w:val="009720AB"/>
    <w:rsid w:val="0097610B"/>
    <w:rsid w:val="009772B3"/>
    <w:rsid w:val="00977593"/>
    <w:rsid w:val="00980C83"/>
    <w:rsid w:val="00981F13"/>
    <w:rsid w:val="00985214"/>
    <w:rsid w:val="00986B4E"/>
    <w:rsid w:val="009916F3"/>
    <w:rsid w:val="00995F0E"/>
    <w:rsid w:val="009A12CA"/>
    <w:rsid w:val="009A1600"/>
    <w:rsid w:val="009A2105"/>
    <w:rsid w:val="009B001B"/>
    <w:rsid w:val="009B0BCA"/>
    <w:rsid w:val="009B4D01"/>
    <w:rsid w:val="009B535A"/>
    <w:rsid w:val="009B6171"/>
    <w:rsid w:val="009C2C63"/>
    <w:rsid w:val="009D6D54"/>
    <w:rsid w:val="009E2C11"/>
    <w:rsid w:val="009E534F"/>
    <w:rsid w:val="009E6B46"/>
    <w:rsid w:val="00A03D11"/>
    <w:rsid w:val="00A103B1"/>
    <w:rsid w:val="00A11A6C"/>
    <w:rsid w:val="00A17BD9"/>
    <w:rsid w:val="00A23C05"/>
    <w:rsid w:val="00A25096"/>
    <w:rsid w:val="00A44C3E"/>
    <w:rsid w:val="00A45145"/>
    <w:rsid w:val="00A456B3"/>
    <w:rsid w:val="00A4793F"/>
    <w:rsid w:val="00A558EF"/>
    <w:rsid w:val="00A667A8"/>
    <w:rsid w:val="00A673FF"/>
    <w:rsid w:val="00A676CD"/>
    <w:rsid w:val="00A85D55"/>
    <w:rsid w:val="00A901F6"/>
    <w:rsid w:val="00A95BF0"/>
    <w:rsid w:val="00A97125"/>
    <w:rsid w:val="00A97953"/>
    <w:rsid w:val="00AA4F3D"/>
    <w:rsid w:val="00AB3C86"/>
    <w:rsid w:val="00AB4B64"/>
    <w:rsid w:val="00AB5D7D"/>
    <w:rsid w:val="00AD2D7D"/>
    <w:rsid w:val="00AD4BD3"/>
    <w:rsid w:val="00AD52A5"/>
    <w:rsid w:val="00AE17D8"/>
    <w:rsid w:val="00AF16C1"/>
    <w:rsid w:val="00AF3F58"/>
    <w:rsid w:val="00AF45E0"/>
    <w:rsid w:val="00B02BB6"/>
    <w:rsid w:val="00B04535"/>
    <w:rsid w:val="00B0593D"/>
    <w:rsid w:val="00B106A4"/>
    <w:rsid w:val="00B12E14"/>
    <w:rsid w:val="00B15A7F"/>
    <w:rsid w:val="00B17EA9"/>
    <w:rsid w:val="00B200AA"/>
    <w:rsid w:val="00B27A09"/>
    <w:rsid w:val="00B32C00"/>
    <w:rsid w:val="00B35582"/>
    <w:rsid w:val="00B36121"/>
    <w:rsid w:val="00B37D9C"/>
    <w:rsid w:val="00B41660"/>
    <w:rsid w:val="00B41CC1"/>
    <w:rsid w:val="00B42281"/>
    <w:rsid w:val="00B425AA"/>
    <w:rsid w:val="00B43852"/>
    <w:rsid w:val="00B54A36"/>
    <w:rsid w:val="00B5565C"/>
    <w:rsid w:val="00B631E3"/>
    <w:rsid w:val="00B67AC8"/>
    <w:rsid w:val="00B741C0"/>
    <w:rsid w:val="00B842B9"/>
    <w:rsid w:val="00B84694"/>
    <w:rsid w:val="00B84CE6"/>
    <w:rsid w:val="00B85A83"/>
    <w:rsid w:val="00B87B01"/>
    <w:rsid w:val="00BA05E3"/>
    <w:rsid w:val="00BA0A2F"/>
    <w:rsid w:val="00BA1819"/>
    <w:rsid w:val="00BA222D"/>
    <w:rsid w:val="00BB029B"/>
    <w:rsid w:val="00BB1C42"/>
    <w:rsid w:val="00BB2D4F"/>
    <w:rsid w:val="00BB33D4"/>
    <w:rsid w:val="00BB39F7"/>
    <w:rsid w:val="00BB3F84"/>
    <w:rsid w:val="00BB7B00"/>
    <w:rsid w:val="00BC2C99"/>
    <w:rsid w:val="00BC7211"/>
    <w:rsid w:val="00BC7EA8"/>
    <w:rsid w:val="00BE0886"/>
    <w:rsid w:val="00BE0B25"/>
    <w:rsid w:val="00BE3207"/>
    <w:rsid w:val="00BE3639"/>
    <w:rsid w:val="00BF7DD1"/>
    <w:rsid w:val="00C0094E"/>
    <w:rsid w:val="00C02CAB"/>
    <w:rsid w:val="00C0543F"/>
    <w:rsid w:val="00C060D0"/>
    <w:rsid w:val="00C076F0"/>
    <w:rsid w:val="00C10B7B"/>
    <w:rsid w:val="00C11145"/>
    <w:rsid w:val="00C11E1B"/>
    <w:rsid w:val="00C124F0"/>
    <w:rsid w:val="00C20325"/>
    <w:rsid w:val="00C2656C"/>
    <w:rsid w:val="00C27174"/>
    <w:rsid w:val="00C333AF"/>
    <w:rsid w:val="00C3542F"/>
    <w:rsid w:val="00C41B0A"/>
    <w:rsid w:val="00C44761"/>
    <w:rsid w:val="00C458F1"/>
    <w:rsid w:val="00C45E03"/>
    <w:rsid w:val="00C56A6C"/>
    <w:rsid w:val="00C61F3A"/>
    <w:rsid w:val="00C63662"/>
    <w:rsid w:val="00C6421E"/>
    <w:rsid w:val="00C7114B"/>
    <w:rsid w:val="00C7178F"/>
    <w:rsid w:val="00C72744"/>
    <w:rsid w:val="00C74BC4"/>
    <w:rsid w:val="00C77B7A"/>
    <w:rsid w:val="00C81C98"/>
    <w:rsid w:val="00C86875"/>
    <w:rsid w:val="00C87505"/>
    <w:rsid w:val="00C912D1"/>
    <w:rsid w:val="00C9187C"/>
    <w:rsid w:val="00CA1AD8"/>
    <w:rsid w:val="00CB0274"/>
    <w:rsid w:val="00CB4AEC"/>
    <w:rsid w:val="00CB5C1C"/>
    <w:rsid w:val="00CB7C1C"/>
    <w:rsid w:val="00CC401A"/>
    <w:rsid w:val="00CC71EF"/>
    <w:rsid w:val="00CD1DDD"/>
    <w:rsid w:val="00CD222B"/>
    <w:rsid w:val="00CD71E6"/>
    <w:rsid w:val="00CE1B33"/>
    <w:rsid w:val="00CE2E44"/>
    <w:rsid w:val="00CE4862"/>
    <w:rsid w:val="00CF201A"/>
    <w:rsid w:val="00CF2B2B"/>
    <w:rsid w:val="00CF2C18"/>
    <w:rsid w:val="00CF5217"/>
    <w:rsid w:val="00CF5E75"/>
    <w:rsid w:val="00CF7268"/>
    <w:rsid w:val="00D0402A"/>
    <w:rsid w:val="00D05256"/>
    <w:rsid w:val="00D06DE6"/>
    <w:rsid w:val="00D12570"/>
    <w:rsid w:val="00D15A1C"/>
    <w:rsid w:val="00D169C4"/>
    <w:rsid w:val="00D20284"/>
    <w:rsid w:val="00D21CD4"/>
    <w:rsid w:val="00D22E6C"/>
    <w:rsid w:val="00D32C4A"/>
    <w:rsid w:val="00D343B6"/>
    <w:rsid w:val="00D37435"/>
    <w:rsid w:val="00D43C74"/>
    <w:rsid w:val="00D452D5"/>
    <w:rsid w:val="00D5172F"/>
    <w:rsid w:val="00D54F16"/>
    <w:rsid w:val="00D57D5F"/>
    <w:rsid w:val="00D61E60"/>
    <w:rsid w:val="00D63DB0"/>
    <w:rsid w:val="00D70FE5"/>
    <w:rsid w:val="00D73EBE"/>
    <w:rsid w:val="00D76927"/>
    <w:rsid w:val="00D814E9"/>
    <w:rsid w:val="00D83C77"/>
    <w:rsid w:val="00D83F04"/>
    <w:rsid w:val="00D93452"/>
    <w:rsid w:val="00D97259"/>
    <w:rsid w:val="00DA6D7E"/>
    <w:rsid w:val="00DB0037"/>
    <w:rsid w:val="00DB67E8"/>
    <w:rsid w:val="00DC1233"/>
    <w:rsid w:val="00DC6C02"/>
    <w:rsid w:val="00DD2C0A"/>
    <w:rsid w:val="00DD3CAE"/>
    <w:rsid w:val="00DD4582"/>
    <w:rsid w:val="00DD792E"/>
    <w:rsid w:val="00DE16D3"/>
    <w:rsid w:val="00DE1F57"/>
    <w:rsid w:val="00DE2FB3"/>
    <w:rsid w:val="00DE477E"/>
    <w:rsid w:val="00DF05CE"/>
    <w:rsid w:val="00DF5DBA"/>
    <w:rsid w:val="00DF65C3"/>
    <w:rsid w:val="00E0048A"/>
    <w:rsid w:val="00E015C7"/>
    <w:rsid w:val="00E0184F"/>
    <w:rsid w:val="00E02FB3"/>
    <w:rsid w:val="00E034B4"/>
    <w:rsid w:val="00E056B6"/>
    <w:rsid w:val="00E057AC"/>
    <w:rsid w:val="00E10A7D"/>
    <w:rsid w:val="00E15DA9"/>
    <w:rsid w:val="00E215C9"/>
    <w:rsid w:val="00E24140"/>
    <w:rsid w:val="00E30C85"/>
    <w:rsid w:val="00E30CC5"/>
    <w:rsid w:val="00E3325E"/>
    <w:rsid w:val="00E33DEF"/>
    <w:rsid w:val="00E35728"/>
    <w:rsid w:val="00E40672"/>
    <w:rsid w:val="00E452CF"/>
    <w:rsid w:val="00E47171"/>
    <w:rsid w:val="00E5083F"/>
    <w:rsid w:val="00E52B00"/>
    <w:rsid w:val="00E608A1"/>
    <w:rsid w:val="00E63352"/>
    <w:rsid w:val="00E661B2"/>
    <w:rsid w:val="00E760F3"/>
    <w:rsid w:val="00E77424"/>
    <w:rsid w:val="00E77D98"/>
    <w:rsid w:val="00E864C0"/>
    <w:rsid w:val="00E9080C"/>
    <w:rsid w:val="00E919A1"/>
    <w:rsid w:val="00EA0E50"/>
    <w:rsid w:val="00EA5251"/>
    <w:rsid w:val="00EA5D16"/>
    <w:rsid w:val="00EB7E05"/>
    <w:rsid w:val="00EC18C0"/>
    <w:rsid w:val="00EC59D5"/>
    <w:rsid w:val="00ED0B85"/>
    <w:rsid w:val="00ED27C4"/>
    <w:rsid w:val="00ED2F53"/>
    <w:rsid w:val="00ED373F"/>
    <w:rsid w:val="00EE1C3E"/>
    <w:rsid w:val="00EF2D3C"/>
    <w:rsid w:val="00EF6462"/>
    <w:rsid w:val="00F01404"/>
    <w:rsid w:val="00F03F7C"/>
    <w:rsid w:val="00F10782"/>
    <w:rsid w:val="00F11013"/>
    <w:rsid w:val="00F23944"/>
    <w:rsid w:val="00F24359"/>
    <w:rsid w:val="00F27F16"/>
    <w:rsid w:val="00F310E1"/>
    <w:rsid w:val="00F37AB5"/>
    <w:rsid w:val="00F37BA7"/>
    <w:rsid w:val="00F434CE"/>
    <w:rsid w:val="00F45082"/>
    <w:rsid w:val="00F527D2"/>
    <w:rsid w:val="00F53198"/>
    <w:rsid w:val="00F53DAC"/>
    <w:rsid w:val="00F607D5"/>
    <w:rsid w:val="00F66764"/>
    <w:rsid w:val="00F6707F"/>
    <w:rsid w:val="00F67A49"/>
    <w:rsid w:val="00F70B95"/>
    <w:rsid w:val="00F718FA"/>
    <w:rsid w:val="00F8039D"/>
    <w:rsid w:val="00F85E9B"/>
    <w:rsid w:val="00F91384"/>
    <w:rsid w:val="00FA3258"/>
    <w:rsid w:val="00FA7787"/>
    <w:rsid w:val="00FA7C4D"/>
    <w:rsid w:val="00FC1D0A"/>
    <w:rsid w:val="00FC26E3"/>
    <w:rsid w:val="00FD1894"/>
    <w:rsid w:val="00FD7233"/>
    <w:rsid w:val="00FE601D"/>
    <w:rsid w:val="00FF0A10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C666-4A6B-4831-B131-DBFE3BE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4</cp:revision>
  <cp:lastPrinted>2020-06-24T12:04:00Z</cp:lastPrinted>
  <dcterms:created xsi:type="dcterms:W3CDTF">2020-06-24T10:56:00Z</dcterms:created>
  <dcterms:modified xsi:type="dcterms:W3CDTF">2020-06-24T12:13:00Z</dcterms:modified>
</cp:coreProperties>
</file>