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5847A5A" wp14:editId="0656B05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6B2F5D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48130A" w:rsidRDefault="00DE60C0" w:rsidP="00EB6BA3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2C11D9">
        <w:rPr>
          <w:rFonts w:ascii="Franklin Gothic Demi" w:eastAsia="Times New Roman" w:hAnsi="Franklin Gothic Demi" w:cs="Times New Roman"/>
          <w:color w:val="0070C0"/>
          <w:sz w:val="52"/>
          <w:szCs w:val="52"/>
          <w:lang w:eastAsia="cs-CZ"/>
        </w:rPr>
        <w:t>„</w:t>
      </w:r>
      <w:r w:rsidR="008B6B44" w:rsidRPr="002C11D9">
        <w:rPr>
          <w:rFonts w:ascii="Franklin Gothic Demi" w:eastAsia="Times New Roman" w:hAnsi="Franklin Gothic Demi" w:cs="Times New Roman"/>
          <w:color w:val="0070C0"/>
          <w:sz w:val="52"/>
          <w:szCs w:val="52"/>
          <w:lang w:eastAsia="cs-CZ"/>
        </w:rPr>
        <w:t>Kontingenční tabulky z více zdrojů</w:t>
      </w:r>
      <w:r w:rsidR="008B6B44" w:rsidRPr="008B6B4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  <w:r w:rsidR="008B6B44" w:rsidRPr="002C11D9">
        <w:rPr>
          <w:rFonts w:ascii="Franklin Gothic Demi" w:eastAsia="Times New Roman" w:hAnsi="Franklin Gothic Demi" w:cs="Times New Roman"/>
          <w:color w:val="0070C0"/>
          <w:sz w:val="40"/>
          <w:szCs w:val="40"/>
          <w:lang w:eastAsia="cs-CZ"/>
        </w:rPr>
        <w:t>(KT II.) – s využitím Power Query</w:t>
      </w:r>
      <w:r w:rsidR="00EB6BA3" w:rsidRPr="002C11D9">
        <w:rPr>
          <w:rFonts w:ascii="Franklin Gothic Demi" w:eastAsia="Times New Roman" w:hAnsi="Franklin Gothic Demi" w:cs="Times New Roman"/>
          <w:color w:val="0070C0"/>
          <w:sz w:val="40"/>
          <w:szCs w:val="40"/>
          <w:lang w:eastAsia="cs-CZ"/>
        </w:rPr>
        <w:t>“</w:t>
      </w:r>
      <w:r w:rsidR="0048130A" w:rsidRPr="002C11D9">
        <w:rPr>
          <w:rFonts w:ascii="Franklin Gothic Demi" w:eastAsia="Times New Roman" w:hAnsi="Franklin Gothic Demi" w:cs="Times New Roman"/>
          <w:color w:val="0070C0"/>
          <w:sz w:val="40"/>
          <w:szCs w:val="40"/>
          <w:lang w:eastAsia="cs-CZ"/>
        </w:rPr>
        <w:br/>
      </w:r>
      <w:r w:rsidR="0048130A" w:rsidRPr="0048130A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>Ušetřete až 30% svého pracovního času.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8B6B4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8B6B4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květ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DE60C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2C11D9" w:rsidRDefault="008B6B44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Pracujete s daty, která v průběhu času přibývají a tabulky se rozšiřují? Potřebujete porovnat několik období mezi sebou? Máte data stejně uspořádaná a kopírujete je pod sebe nebo </w:t>
      </w: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  <w:t xml:space="preserve">je složitě spojujete pomocí funkce SVYHLEDAT…? Překročte hranice Excelu. </w:t>
      </w: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  <w:t>Nové Power nástroje Vám umožní obejít omezení Excelu a načítat velké rozsahy dat z</w:t>
      </w:r>
      <w:r w:rsid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 </w:t>
      </w: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Excelu</w:t>
      </w:r>
      <w:r w:rsid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a dalších zdrojů. Data můžete před načtením upravit.</w:t>
      </w:r>
      <w:r w:rsidR="002C11D9"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</w:p>
    <w:p w:rsidR="008B6B44" w:rsidRPr="002C11D9" w:rsidRDefault="008B6B44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K výuce je potřeba mít verzi Excelu 2013 nebo vyšší.</w:t>
      </w:r>
    </w:p>
    <w:p w:rsidR="00B96769" w:rsidRDefault="002C11D9" w:rsidP="002C11D9">
      <w:pPr>
        <w:pStyle w:val="xmsonormal"/>
        <w:tabs>
          <w:tab w:val="left" w:pos="142"/>
        </w:tabs>
        <w:spacing w:before="0" w:beforeAutospacing="0" w:after="0" w:afterAutospacing="0"/>
        <w:jc w:val="both"/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bookmarkStart w:id="0" w:name="_GoBack"/>
      <w:bookmarkEnd w:id="0"/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2C11D9" w:rsidRPr="002C11D9" w:rsidRDefault="002C11D9" w:rsidP="002C11D9">
      <w:pPr>
        <w:pStyle w:val="Normlnweb"/>
        <w:numPr>
          <w:ilvl w:val="0"/>
          <w:numId w:val="20"/>
        </w:numPr>
        <w:spacing w:after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C11D9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seskupování dat v</w:t>
      </w:r>
      <w:r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 </w:t>
      </w:r>
      <w:r w:rsidRPr="002C11D9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kontin</w:t>
      </w:r>
      <w:r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.</w:t>
      </w:r>
      <w:r w:rsidRPr="002C11D9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 tabulkách – časové hierarchie, seskupování podle čísel… </w:t>
      </w:r>
    </w:p>
    <w:p w:rsidR="002C11D9" w:rsidRPr="002C11D9" w:rsidRDefault="002C11D9" w:rsidP="002C11D9">
      <w:pPr>
        <w:pStyle w:val="Normlnweb"/>
        <w:numPr>
          <w:ilvl w:val="0"/>
          <w:numId w:val="20"/>
        </w:numPr>
        <w:spacing w:after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2C11D9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základní výpočty v kontingenční tabulce, přepočty na % apod. </w:t>
      </w:r>
    </w:p>
    <w:p w:rsidR="008B6B44" w:rsidRPr="008B6B44" w:rsidRDefault="008B6B44" w:rsidP="008B6B44">
      <w:pPr>
        <w:pStyle w:val="Normlnweb"/>
        <w:numPr>
          <w:ilvl w:val="0"/>
          <w:numId w:val="20"/>
        </w:numPr>
        <w:spacing w:after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8B6B44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načítání dat z několika tabulek (případně jiných zdrojů) do Excelu pomocí nástroje </w:t>
      </w:r>
      <w:r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br/>
      </w:r>
      <w:r w:rsidRPr="008B6B44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Power Query</w:t>
      </w:r>
    </w:p>
    <w:p w:rsidR="008B6B44" w:rsidRPr="008B6B44" w:rsidRDefault="008B6B44" w:rsidP="008B6B44">
      <w:pPr>
        <w:pStyle w:val="Normlnweb"/>
        <w:numPr>
          <w:ilvl w:val="0"/>
          <w:numId w:val="20"/>
        </w:numPr>
        <w:spacing w:after="0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8B6B44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provádění základních úprav dat ještě před jejich načtením</w:t>
      </w:r>
    </w:p>
    <w:p w:rsidR="008B6B44" w:rsidRPr="008B6B44" w:rsidRDefault="008B6B44" w:rsidP="008B6B44">
      <w:pPr>
        <w:pStyle w:val="Normlnweb"/>
        <w:numPr>
          <w:ilvl w:val="0"/>
          <w:numId w:val="20"/>
        </w:numPr>
        <w:spacing w:before="0" w:beforeAutospacing="0" w:after="0" w:afterAutospacing="0"/>
        <w:ind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8B6B44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základní práce s dotazy v PowerQuery</w:t>
      </w:r>
    </w:p>
    <w:p w:rsidR="008B6B44" w:rsidRPr="002C11D9" w:rsidRDefault="008B6B44" w:rsidP="008B6B44">
      <w:pPr>
        <w:pStyle w:val="Normlnweb"/>
        <w:numPr>
          <w:ilvl w:val="1"/>
          <w:numId w:val="24"/>
        </w:numPr>
        <w:spacing w:before="0" w:beforeAutospacing="0" w:after="0" w:afterAutospacing="0"/>
        <w:ind w:hanging="357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slučování dotazů (tabulek)</w:t>
      </w:r>
    </w:p>
    <w:p w:rsidR="008B6B44" w:rsidRPr="002C11D9" w:rsidRDefault="008B6B44" w:rsidP="008B6B44">
      <w:pPr>
        <w:pStyle w:val="Normln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2C11D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připojování dotazů (tabulek)</w:t>
      </w:r>
    </w:p>
    <w:p w:rsidR="008B6B44" w:rsidRDefault="008B6B44" w:rsidP="008B6B44">
      <w:pPr>
        <w:pStyle w:val="Normlnweb"/>
        <w:numPr>
          <w:ilvl w:val="0"/>
          <w:numId w:val="22"/>
        </w:numPr>
        <w:spacing w:before="0" w:beforeAutospacing="0" w:after="0" w:afterAutospacing="0"/>
        <w:ind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8B6B44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způsoby prezentace načtených dat – kontingenční tabulka z více zdrojů</w:t>
      </w:r>
    </w:p>
    <w:p w:rsidR="00EB6BA3" w:rsidRDefault="00630E9E" w:rsidP="008B6B44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EB6BA3" w:rsidP="006B2F5D">
      <w:pPr>
        <w:spacing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8B6B44">
        <w:rPr>
          <w:rFonts w:ascii="Franklin Gothic Book" w:hAnsi="Franklin Gothic Book"/>
          <w:color w:val="FF0000"/>
        </w:rPr>
        <w:t>23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8B6B44">
        <w:rPr>
          <w:rFonts w:ascii="Franklin Gothic Book" w:hAnsi="Franklin Gothic Book"/>
          <w:color w:val="FF0000"/>
        </w:rPr>
        <w:t>5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DE60C0">
        <w:rPr>
          <w:rFonts w:ascii="Franklin Gothic Book" w:hAnsi="Franklin Gothic Book"/>
          <w:color w:val="FF0000"/>
        </w:rPr>
        <w:t>2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6B2F5D">
      <w:pPr>
        <w:spacing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8B6B44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8B6B4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K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ontingenční tabulky</w:t>
            </w:r>
            <w:r w:rsidR="008B6B4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z více zdrojů – s využitím Power Query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D478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8B6B4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8B6B4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DE60C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23309"/>
    <w:multiLevelType w:val="hybridMultilevel"/>
    <w:tmpl w:val="589CDD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217D"/>
    <w:multiLevelType w:val="hybridMultilevel"/>
    <w:tmpl w:val="FFF2A1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D8CDA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5EE3"/>
    <w:multiLevelType w:val="hybridMultilevel"/>
    <w:tmpl w:val="424013C6"/>
    <w:lvl w:ilvl="0" w:tplc="8C9EF2C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3BD1"/>
    <w:multiLevelType w:val="hybridMultilevel"/>
    <w:tmpl w:val="FC7CBC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B607F"/>
    <w:multiLevelType w:val="hybridMultilevel"/>
    <w:tmpl w:val="43BCFA10"/>
    <w:lvl w:ilvl="0" w:tplc="3AF2A742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E5868"/>
    <w:multiLevelType w:val="hybridMultilevel"/>
    <w:tmpl w:val="CC72C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750E1"/>
    <w:multiLevelType w:val="hybridMultilevel"/>
    <w:tmpl w:val="1940F6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B48E0"/>
    <w:multiLevelType w:val="hybridMultilevel"/>
    <w:tmpl w:val="744AE078"/>
    <w:lvl w:ilvl="0" w:tplc="8C96E090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BF3A92"/>
    <w:multiLevelType w:val="hybridMultilevel"/>
    <w:tmpl w:val="4C8A9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9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  <w:num w:numId="19">
    <w:abstractNumId w:val="11"/>
  </w:num>
  <w:num w:numId="20">
    <w:abstractNumId w:val="7"/>
  </w:num>
  <w:num w:numId="21">
    <w:abstractNumId w:val="18"/>
  </w:num>
  <w:num w:numId="22">
    <w:abstractNumId w:val="6"/>
  </w:num>
  <w:num w:numId="23">
    <w:abstractNumId w:val="8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2C11D9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30A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B2F5D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B6B44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649C5"/>
    <w:rsid w:val="009812CA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0C0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7</cp:revision>
  <cp:lastPrinted>2022-04-25T10:13:00Z</cp:lastPrinted>
  <dcterms:created xsi:type="dcterms:W3CDTF">2022-03-07T07:27:00Z</dcterms:created>
  <dcterms:modified xsi:type="dcterms:W3CDTF">2022-04-25T10:13:00Z</dcterms:modified>
</cp:coreProperties>
</file>